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《金融衍生工具（一）》课程教学大纲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7"/>
        <w:tblW w:w="8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cs="宋体"/>
                <w:szCs w:val="21"/>
              </w:rPr>
            </w:pPr>
            <w:r>
              <w:rPr>
                <w:rFonts w:ascii="宋体" w:hAnsi="宋体" w:eastAsia="宋体" w:cs="宋体"/>
                <w:szCs w:val="21"/>
              </w:rPr>
              <w:t xml:space="preserve">Derivative Financial Instruments  </w:t>
            </w:r>
          </w:p>
        </w:tc>
        <w:tc>
          <w:tcPr>
            <w:tcW w:w="1134" w:type="dxa"/>
            <w:vAlign w:val="center"/>
          </w:tcPr>
          <w:p>
            <w:pPr>
              <w:spacing w:before="156" w:beforeLines="50" w:after="156" w:afterLines="50"/>
              <w:jc w:val="center"/>
              <w:rPr>
                <w:rFonts w:ascii="宋体" w:hAnsi="宋体" w:eastAsia="宋体" w:cs="宋体"/>
                <w:b/>
                <w:bCs/>
                <w:szCs w:val="21"/>
              </w:rPr>
            </w:pPr>
            <w:r>
              <w:rPr>
                <w:rFonts w:hint="eastAsia" w:ascii="宋体" w:hAnsi="宋体" w:eastAsia="宋体" w:cs="宋体"/>
                <w:b/>
                <w:bCs/>
                <w:szCs w:val="21"/>
              </w:rPr>
              <w:t>课程代码</w:t>
            </w:r>
          </w:p>
        </w:tc>
        <w:tc>
          <w:tcPr>
            <w:tcW w:w="2744" w:type="dxa"/>
            <w:vAlign w:val="center"/>
          </w:tcPr>
          <w:p>
            <w:pPr>
              <w:spacing w:before="156" w:beforeLines="50" w:after="156" w:afterLines="50"/>
              <w:rPr>
                <w:rFonts w:hint="eastAsia" w:ascii="宋体" w:hAnsi="宋体" w:eastAsia="宋体" w:cs="宋体"/>
                <w:szCs w:val="21"/>
                <w:lang w:val="en-US" w:eastAsia="zh-CN"/>
              </w:rPr>
            </w:pPr>
            <w:r>
              <w:rPr>
                <w:rFonts w:hint="eastAsia" w:ascii="宋体" w:hAnsi="宋体" w:eastAsia="宋体" w:cs="宋体"/>
                <w:szCs w:val="21"/>
                <w:lang w:val="en-US" w:eastAsia="zh-CN"/>
              </w:rPr>
              <w:t>FIAB3015/2016</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cs="宋体"/>
                <w:szCs w:val="21"/>
              </w:rPr>
            </w:pPr>
            <w:r>
              <w:rPr>
                <w:rFonts w:hint="eastAsia" w:ascii="宋体" w:hAnsi="宋体" w:eastAsia="宋体" w:cs="宋体"/>
                <w:szCs w:val="21"/>
              </w:rPr>
              <w:t>专业必修课程</w:t>
            </w:r>
          </w:p>
        </w:tc>
        <w:tc>
          <w:tcPr>
            <w:tcW w:w="1134" w:type="dxa"/>
            <w:vAlign w:val="center"/>
          </w:tcPr>
          <w:p>
            <w:pPr>
              <w:spacing w:before="156" w:beforeLines="50" w:after="156" w:afterLines="50"/>
              <w:jc w:val="center"/>
              <w:rPr>
                <w:rFonts w:ascii="宋体" w:hAnsi="宋体" w:eastAsia="宋体" w:cs="宋体"/>
                <w:b/>
                <w:bCs/>
                <w:szCs w:val="21"/>
              </w:rPr>
            </w:pPr>
            <w:r>
              <w:rPr>
                <w:rFonts w:hint="eastAsia" w:ascii="宋体" w:hAnsi="宋体" w:eastAsia="宋体" w:cs="宋体"/>
                <w:b/>
                <w:bCs/>
                <w:szCs w:val="21"/>
              </w:rPr>
              <w:t>授课对象</w:t>
            </w:r>
          </w:p>
        </w:tc>
        <w:tc>
          <w:tcPr>
            <w:tcW w:w="2744" w:type="dxa"/>
            <w:vAlign w:val="center"/>
          </w:tcPr>
          <w:p>
            <w:pPr>
              <w:spacing w:before="156" w:beforeLines="50" w:after="156" w:afterLines="50"/>
              <w:rPr>
                <w:rFonts w:ascii="宋体" w:hAnsi="宋体" w:eastAsia="宋体" w:cs="宋体"/>
                <w:szCs w:val="21"/>
              </w:rPr>
            </w:pPr>
            <w:r>
              <w:rPr>
                <w:rFonts w:hint="eastAsia" w:ascii="宋体" w:hAnsi="宋体" w:eastAsia="宋体" w:cs="宋体"/>
                <w:szCs w:val="21"/>
              </w:rPr>
              <w:t>金融专业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cs="宋体"/>
                <w:szCs w:val="21"/>
              </w:rPr>
            </w:pPr>
            <w:r>
              <w:rPr>
                <w:rFonts w:hint="eastAsia" w:ascii="宋体" w:hAnsi="宋体" w:eastAsia="宋体" w:cs="宋体"/>
                <w:szCs w:val="21"/>
              </w:rPr>
              <w:t>3</w:t>
            </w:r>
          </w:p>
        </w:tc>
        <w:tc>
          <w:tcPr>
            <w:tcW w:w="1134" w:type="dxa"/>
            <w:vAlign w:val="center"/>
          </w:tcPr>
          <w:p>
            <w:pPr>
              <w:spacing w:before="156" w:beforeLines="50" w:after="156" w:afterLines="50"/>
              <w:jc w:val="center"/>
              <w:rPr>
                <w:rFonts w:ascii="宋体" w:hAnsi="宋体" w:eastAsia="宋体" w:cs="宋体"/>
                <w:b/>
                <w:bCs/>
                <w:szCs w:val="21"/>
              </w:rPr>
            </w:pPr>
            <w:r>
              <w:rPr>
                <w:rFonts w:hint="eastAsia" w:ascii="宋体" w:hAnsi="宋体" w:eastAsia="宋体" w:cs="宋体"/>
                <w:b/>
                <w:bCs/>
                <w:szCs w:val="21"/>
              </w:rPr>
              <w:t>学   时</w:t>
            </w:r>
          </w:p>
        </w:tc>
        <w:tc>
          <w:tcPr>
            <w:tcW w:w="2744" w:type="dxa"/>
            <w:vAlign w:val="center"/>
          </w:tcPr>
          <w:p>
            <w:pPr>
              <w:spacing w:before="156" w:beforeLines="50" w:after="156" w:afterLines="50"/>
              <w:rPr>
                <w:rFonts w:ascii="宋体" w:hAnsi="宋体" w:eastAsia="宋体" w:cs="宋体"/>
                <w:szCs w:val="21"/>
              </w:rPr>
            </w:pPr>
            <w:r>
              <w:rPr>
                <w:rFonts w:hint="eastAsia" w:ascii="宋体" w:hAnsi="宋体" w:eastAsia="宋体" w:cs="宋体"/>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cs="宋体"/>
                <w:szCs w:val="21"/>
              </w:rPr>
            </w:pPr>
            <w:r>
              <w:rPr>
                <w:rFonts w:hint="eastAsia" w:ascii="宋体" w:hAnsi="宋体" w:eastAsia="宋体" w:cs="宋体"/>
                <w:szCs w:val="21"/>
              </w:rPr>
              <w:t>朱涵明</w:t>
            </w:r>
          </w:p>
        </w:tc>
        <w:tc>
          <w:tcPr>
            <w:tcW w:w="1134" w:type="dxa"/>
            <w:vAlign w:val="center"/>
          </w:tcPr>
          <w:p>
            <w:pPr>
              <w:spacing w:before="156" w:beforeLines="50" w:after="156" w:afterLines="50"/>
              <w:jc w:val="center"/>
              <w:rPr>
                <w:rFonts w:ascii="宋体" w:hAnsi="宋体" w:eastAsia="宋体" w:cs="宋体"/>
                <w:b/>
                <w:bCs/>
                <w:szCs w:val="21"/>
              </w:rPr>
            </w:pPr>
            <w:r>
              <w:rPr>
                <w:rFonts w:hint="eastAsia" w:ascii="宋体" w:hAnsi="宋体" w:eastAsia="宋体" w:cs="宋体"/>
                <w:b/>
                <w:bCs/>
                <w:szCs w:val="21"/>
              </w:rPr>
              <w:t>修订日期</w:t>
            </w:r>
          </w:p>
        </w:tc>
        <w:tc>
          <w:tcPr>
            <w:tcW w:w="2744" w:type="dxa"/>
            <w:vAlign w:val="center"/>
          </w:tcPr>
          <w:p>
            <w:pPr>
              <w:spacing w:before="156" w:beforeLines="50" w:after="156" w:afterLines="50"/>
              <w:rPr>
                <w:rFonts w:ascii="宋体" w:hAnsi="宋体" w:eastAsia="宋体" w:cs="宋体"/>
                <w:szCs w:val="21"/>
              </w:rPr>
            </w:pPr>
            <w:r>
              <w:rPr>
                <w:rFonts w:hint="eastAsia" w:ascii="宋体" w:hAnsi="宋体" w:eastAsia="宋体" w:cs="宋体"/>
                <w:szCs w:val="21"/>
              </w:rPr>
              <w:t>202</w:t>
            </w:r>
            <w:r>
              <w:rPr>
                <w:rFonts w:ascii="宋体" w:hAnsi="宋体" w:eastAsia="宋体" w:cs="宋体"/>
                <w:szCs w:val="21"/>
              </w:rPr>
              <w:t>3</w:t>
            </w:r>
            <w:r>
              <w:rPr>
                <w:rFonts w:hint="eastAsia" w:ascii="宋体" w:hAnsi="宋体" w:eastAsia="宋体" w:cs="宋体"/>
                <w:szCs w:val="21"/>
              </w:rPr>
              <w:t>.</w:t>
            </w:r>
            <w:r>
              <w:rPr>
                <w:rFonts w:ascii="宋体" w:hAnsi="宋体" w:eastAsia="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cs="宋体"/>
                <w:szCs w:val="21"/>
              </w:rPr>
            </w:pPr>
            <w:r>
              <w:rPr>
                <w:rFonts w:hint="eastAsia" w:ascii="宋体" w:hAnsi="宋体" w:eastAsia="宋体" w:cs="宋体"/>
                <w:szCs w:val="21"/>
              </w:rPr>
              <w:t>《期权、期货及其他衍生产品》（第</w:t>
            </w:r>
            <w:r>
              <w:rPr>
                <w:rFonts w:ascii="宋体" w:hAnsi="宋体" w:eastAsia="宋体" w:cs="宋体"/>
                <w:szCs w:val="21"/>
              </w:rPr>
              <w:t>10版）</w:t>
            </w:r>
          </w:p>
        </w:tc>
      </w:tr>
    </w:tbl>
    <w:p>
      <w:pPr>
        <w:pStyle w:val="2"/>
        <w:spacing w:before="156" w:beforeLines="50" w:after="156" w:afterLines="50"/>
        <w:ind w:firstLine="562" w:firstLineChars="200"/>
        <w:rPr>
          <w:rFonts w:hAnsi="宋体" w:eastAsia="黑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Ansi="宋体" w:cs="宋体"/>
        </w:rPr>
      </w:pPr>
      <w:r>
        <w:rPr>
          <w:rFonts w:hint="eastAsia" w:hAnsi="宋体" w:cs="宋体"/>
        </w:rPr>
        <w:t>通过本课程的学习，学生应该对金融衍生工具有较全面地了解。具体而言，学生应该掌握以下知识范畴：其一，金融衍生工具产生的条件和背景；其二，金融衍生工具</w:t>
      </w:r>
      <w:bookmarkStart w:id="0" w:name="_Hlk142910308"/>
      <w:r>
        <w:rPr>
          <w:rFonts w:hint="eastAsia" w:hAnsi="宋体" w:cs="宋体"/>
        </w:rPr>
        <w:t>在金融风险管理中的应用价值和应用范围</w:t>
      </w:r>
      <w:bookmarkEnd w:id="0"/>
      <w:r>
        <w:rPr>
          <w:rFonts w:hint="eastAsia" w:hAnsi="宋体" w:cs="宋体"/>
        </w:rPr>
        <w:t>；其三，金融衍生工具的基本工具，包括期货、期权、远期、互换的基本含义、定价；其四，金融衍生工具技术手段在货币风险管理、利率风险管理、指数风险管理等领域的应用。最后，学生从国际视野分析金融衍生工具在中国的适用性及金融衍生工具在中国未来的发展状况。通过合理运用金融衍生工具对市场风险、信用风险、流动性风险进行有效管理，坚持守住不发生系统性风险的底线。培养学生的社会责任感和践行社会主义核心价值观的能力，使学生兼具人文精神和科学素养。</w:t>
      </w:r>
    </w:p>
    <w:p>
      <w:pPr>
        <w:pStyle w:val="2"/>
        <w:numPr>
          <w:ilvl w:val="0"/>
          <w:numId w:val="1"/>
        </w:numPr>
        <w:spacing w:before="156" w:beforeLines="50" w:after="156" w:afterLines="50"/>
        <w:ind w:firstLine="480" w:firstLineChars="200"/>
        <w:rPr>
          <w:rFonts w:ascii="黑体" w:hAnsi="黑体" w:eastAsia="黑体" w:cs="宋体"/>
          <w:sz w:val="24"/>
          <w:szCs w:val="24"/>
        </w:rPr>
      </w:pPr>
      <w:r>
        <w:rPr>
          <w:rFonts w:hint="eastAsia" w:ascii="黑体" w:hAnsi="黑体" w:eastAsia="黑体" w:cs="宋体"/>
          <w:sz w:val="24"/>
          <w:szCs w:val="24"/>
        </w:rPr>
        <w:t>课程目标：</w:t>
      </w:r>
    </w:p>
    <w:p>
      <w:pPr>
        <w:pStyle w:val="2"/>
        <w:spacing w:before="156" w:beforeLines="50" w:after="156" w:afterLines="50"/>
        <w:rPr>
          <w:rFonts w:hAnsi="宋体" w:cs="宋体"/>
          <w:b/>
        </w:rPr>
      </w:pPr>
      <w:r>
        <w:rPr>
          <w:rFonts w:hint="eastAsia" w:hAnsi="宋体" w:cs="宋体"/>
          <w:b/>
        </w:rPr>
        <w:t xml:space="preserve">      课程目标1：通过学习金融衍生工具产生的条件和背景，理解金融衍生工具在金融风险管理中的应用价值和应用范围。</w:t>
      </w:r>
    </w:p>
    <w:p>
      <w:pPr>
        <w:pStyle w:val="2"/>
        <w:spacing w:before="156" w:beforeLines="50" w:after="156" w:afterLines="50"/>
        <w:ind w:firstLine="420" w:firstLineChars="200"/>
        <w:rPr>
          <w:rFonts w:hAnsi="宋体" w:cs="宋体"/>
        </w:rPr>
      </w:pPr>
      <w:r>
        <w:rPr>
          <w:rFonts w:hint="eastAsia" w:hAnsi="宋体" w:cs="宋体"/>
        </w:rPr>
        <w:t>1．1学习金融衍生工具产生的条件和背景</w:t>
      </w:r>
    </w:p>
    <w:p>
      <w:pPr>
        <w:pStyle w:val="2"/>
        <w:spacing w:before="156" w:beforeLines="50" w:after="156" w:afterLines="50"/>
        <w:ind w:firstLine="420" w:firstLineChars="200"/>
        <w:rPr>
          <w:rFonts w:hAnsi="宋体" w:cs="宋体"/>
        </w:rPr>
      </w:pPr>
      <w:r>
        <w:rPr>
          <w:rFonts w:hint="eastAsia" w:hAnsi="宋体" w:cs="宋体"/>
        </w:rPr>
        <w:t>1．2理解理解金融衍生工具在金融风险管理中的应用价值和应用范围</w:t>
      </w:r>
    </w:p>
    <w:p>
      <w:pPr>
        <w:pStyle w:val="2"/>
        <w:spacing w:before="156" w:beforeLines="50" w:after="156" w:afterLines="50"/>
        <w:ind w:firstLine="422" w:firstLineChars="200"/>
        <w:rPr>
          <w:rFonts w:hAnsi="宋体" w:cs="宋体"/>
          <w:b/>
        </w:rPr>
      </w:pPr>
      <w:r>
        <w:rPr>
          <w:rFonts w:hint="eastAsia" w:hAnsi="宋体" w:cs="宋体"/>
          <w:b/>
        </w:rPr>
        <w:t>课程目标2：通过学习金融衍生工具的基本工具，包括期货、期权、远期、互换的基本含义、定价原理，培养学生应用金融衍生工具的能力。</w:t>
      </w:r>
    </w:p>
    <w:p>
      <w:pPr>
        <w:pStyle w:val="2"/>
        <w:spacing w:before="156" w:beforeLines="50" w:after="156" w:afterLines="50"/>
        <w:ind w:firstLine="420" w:firstLineChars="200"/>
        <w:rPr>
          <w:rFonts w:hAnsi="宋体" w:cs="宋体"/>
        </w:rPr>
      </w:pPr>
      <w:r>
        <w:rPr>
          <w:rFonts w:hint="eastAsia" w:hAnsi="宋体" w:cs="宋体"/>
        </w:rPr>
        <w:t>2．1学习</w:t>
      </w:r>
      <w:bookmarkStart w:id="1" w:name="_Hlk142933432"/>
      <w:r>
        <w:rPr>
          <w:rFonts w:hint="eastAsia" w:hAnsi="宋体" w:cs="宋体"/>
        </w:rPr>
        <w:t>各类基础金融衍生工具</w:t>
      </w:r>
      <w:bookmarkEnd w:id="1"/>
      <w:r>
        <w:rPr>
          <w:rFonts w:hint="eastAsia" w:hAnsi="宋体" w:cs="宋体"/>
        </w:rPr>
        <w:t>的含义和特点</w:t>
      </w:r>
    </w:p>
    <w:p>
      <w:pPr>
        <w:pStyle w:val="2"/>
        <w:spacing w:before="156" w:beforeLines="50" w:after="156" w:afterLines="50"/>
        <w:ind w:firstLine="420" w:firstLineChars="200"/>
        <w:rPr>
          <w:rFonts w:hAnsi="宋体" w:cs="宋体"/>
        </w:rPr>
      </w:pPr>
      <w:r>
        <w:rPr>
          <w:rFonts w:hint="eastAsia" w:hAnsi="宋体" w:cs="宋体"/>
        </w:rPr>
        <w:t>2．2理解各类基础金融衍生工具的定价原理</w:t>
      </w:r>
    </w:p>
    <w:p>
      <w:pPr>
        <w:pStyle w:val="2"/>
        <w:spacing w:before="156" w:beforeLines="50" w:after="156" w:afterLines="50"/>
        <w:ind w:firstLine="422" w:firstLineChars="200"/>
        <w:rPr>
          <w:rFonts w:hAnsi="宋体" w:cs="宋体"/>
          <w:b/>
          <w:bCs/>
        </w:rPr>
      </w:pPr>
      <w:r>
        <w:rPr>
          <w:rFonts w:hint="eastAsia" w:hAnsi="宋体" w:cs="宋体"/>
          <w:b/>
        </w:rPr>
        <w:t>课程目标3：通过学习各类基础金融衍生工具在货币风险管理、利率风险管理、指数风险管理等领域的应用</w:t>
      </w:r>
      <w:r>
        <w:rPr>
          <w:rFonts w:hint="eastAsia" w:hAnsi="宋体" w:cs="宋体"/>
          <w:b/>
          <w:bCs/>
        </w:rPr>
        <w:t>，为今后金融实务奠定理论基础。</w:t>
      </w:r>
    </w:p>
    <w:p>
      <w:pPr>
        <w:pStyle w:val="2"/>
        <w:spacing w:before="156" w:beforeLines="50" w:after="156" w:afterLines="50"/>
        <w:ind w:firstLine="420" w:firstLineChars="200"/>
        <w:rPr>
          <w:rFonts w:hAnsi="宋体" w:cs="宋体"/>
        </w:rPr>
      </w:pPr>
      <w:r>
        <w:rPr>
          <w:rFonts w:hint="eastAsia" w:hAnsi="宋体" w:cs="宋体"/>
        </w:rPr>
        <w:t>3．1学习各类基础金融衍生工具在风险管理中的应用</w:t>
      </w:r>
    </w:p>
    <w:p>
      <w:pPr>
        <w:pStyle w:val="2"/>
        <w:spacing w:before="156" w:beforeLines="50" w:after="156" w:afterLines="50"/>
        <w:ind w:firstLine="420" w:firstLineChars="200"/>
        <w:rPr>
          <w:rFonts w:hAnsi="宋体" w:cs="宋体"/>
        </w:rPr>
      </w:pPr>
      <w:r>
        <w:rPr>
          <w:rFonts w:hint="eastAsia" w:hAnsi="宋体" w:cs="宋体"/>
        </w:rPr>
        <w:t>3．2掌握运用各类基础金融衍生工具进行套利的基本方法和技能</w:t>
      </w:r>
    </w:p>
    <w:p>
      <w:pPr>
        <w:pStyle w:val="2"/>
        <w:numPr>
          <w:ilvl w:val="0"/>
          <w:numId w:val="1"/>
        </w:numPr>
        <w:spacing w:before="156" w:beforeLines="50" w:after="156" w:afterLines="50"/>
        <w:ind w:firstLine="480" w:firstLineChars="200"/>
        <w:jc w:val="left"/>
        <w:rPr>
          <w:rFonts w:ascii="黑体" w:hAnsi="黑体" w:eastAsia="黑体" w:cs="宋体"/>
          <w:sz w:val="24"/>
          <w:szCs w:val="24"/>
        </w:rPr>
      </w:pPr>
      <w:r>
        <w:rPr>
          <w:rFonts w:hint="eastAsia" w:ascii="黑体" w:hAnsi="黑体" w:eastAsia="黑体" w:cs="宋体"/>
          <w:sz w:val="24"/>
          <w:szCs w:val="24"/>
        </w:rPr>
        <w:t>课程目标与毕业要求、课程内容的对应关系</w:t>
      </w:r>
    </w:p>
    <w:p>
      <w:pPr>
        <w:pStyle w:val="2"/>
        <w:spacing w:before="156" w:beforeLines="50" w:after="156" w:afterLines="50"/>
        <w:jc w:val="center"/>
        <w:rPr>
          <w:rFonts w:ascii="黑体" w:hAnsi="宋体"/>
          <w:b/>
          <w:bCs/>
          <w:szCs w:val="21"/>
        </w:rPr>
      </w:pPr>
      <w:r>
        <w:rPr>
          <w:rFonts w:hint="eastAsia" w:ascii="黑体" w:hAnsi="宋体"/>
          <w:b/>
          <w:bCs/>
          <w:szCs w:val="21"/>
        </w:rPr>
        <w:t xml:space="preserve"> 表1：课程目标与课程内容、毕业要求的对应关系表</w:t>
      </w:r>
    </w:p>
    <w:tbl>
      <w:tblPr>
        <w:tblStyle w:val="7"/>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617"/>
        <w:gridCol w:w="346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617"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460"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617" w:type="dxa"/>
            <w:vAlign w:val="center"/>
          </w:tcPr>
          <w:p>
            <w:pPr>
              <w:pStyle w:val="2"/>
              <w:spacing w:before="156" w:beforeLines="50" w:after="156" w:afterLines="50"/>
              <w:jc w:val="center"/>
              <w:rPr>
                <w:rFonts w:hAnsi="宋体" w:cs="宋体"/>
              </w:rPr>
            </w:pPr>
            <w:r>
              <w:rPr>
                <w:rFonts w:hint="eastAsia" w:hAnsi="宋体" w:cs="宋体"/>
              </w:rPr>
              <w:t>1.1</w:t>
            </w:r>
          </w:p>
        </w:tc>
        <w:tc>
          <w:tcPr>
            <w:tcW w:w="3460" w:type="dxa"/>
            <w:vAlign w:val="center"/>
          </w:tcPr>
          <w:p>
            <w:pPr>
              <w:pStyle w:val="2"/>
              <w:spacing w:before="156" w:beforeLines="50" w:after="156" w:afterLines="50"/>
              <w:jc w:val="center"/>
              <w:rPr>
                <w:rFonts w:hAnsi="宋体" w:cs="宋体"/>
              </w:rPr>
            </w:pPr>
            <w:r>
              <w:rPr>
                <w:rFonts w:hint="eastAsia" w:hAnsi="宋体" w:cs="宋体"/>
              </w:rPr>
              <w:t>金融衍生工具产生的条件和背景</w:t>
            </w:r>
          </w:p>
        </w:tc>
        <w:tc>
          <w:tcPr>
            <w:tcW w:w="2688" w:type="dxa"/>
            <w:vAlign w:val="center"/>
          </w:tcPr>
          <w:p>
            <w:pPr>
              <w:spacing w:line="240" w:lineRule="auto"/>
              <w:rPr>
                <w:rFonts w:ascii="宋体" w:hAnsi="宋体" w:eastAsia="宋体" w:cs="宋体"/>
              </w:rPr>
            </w:pPr>
            <w:r>
              <w:rPr>
                <w:rFonts w:hint="eastAsia" w:ascii="宋体" w:hAnsi="宋体" w:eastAsia="宋体" w:cs="宋体"/>
              </w:rPr>
              <w:t>掌握金融衍生工具产生的背景以及金融创新的意义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Ansi="宋体" w:cs="宋体"/>
              </w:rPr>
            </w:pPr>
            <w:r>
              <w:rPr>
                <w:rFonts w:hint="eastAsia" w:hAnsi="宋体" w:cs="宋体"/>
              </w:rPr>
              <w:t>1.2</w:t>
            </w:r>
          </w:p>
        </w:tc>
        <w:tc>
          <w:tcPr>
            <w:tcW w:w="3460" w:type="dxa"/>
            <w:vAlign w:val="center"/>
          </w:tcPr>
          <w:p>
            <w:pPr>
              <w:pStyle w:val="2"/>
              <w:spacing w:before="156" w:beforeLines="50" w:after="156" w:afterLines="50"/>
              <w:jc w:val="center"/>
              <w:rPr>
                <w:rFonts w:ascii="黑体" w:hAnsi="宋体"/>
                <w:b/>
                <w:bCs/>
                <w:szCs w:val="21"/>
              </w:rPr>
            </w:pPr>
            <w:r>
              <w:rPr>
                <w:rFonts w:hint="eastAsia" w:ascii="黑体" w:hAnsi="宋体"/>
                <w:szCs w:val="21"/>
              </w:rPr>
              <w:t>理解金融衍生工具在金融风险管理中的应用价值和应用范围</w:t>
            </w:r>
          </w:p>
        </w:tc>
        <w:tc>
          <w:tcPr>
            <w:tcW w:w="2688" w:type="dxa"/>
            <w:vAlign w:val="center"/>
          </w:tcPr>
          <w:p>
            <w:pPr>
              <w:spacing w:before="156" w:beforeLines="50" w:after="156" w:afterLines="50"/>
              <w:jc w:val="left"/>
              <w:rPr>
                <w:rFonts w:ascii="宋体" w:hAnsi="宋体" w:eastAsia="宋体" w:cs="宋体"/>
              </w:rPr>
            </w:pPr>
            <w:r>
              <w:rPr>
                <w:rFonts w:hint="eastAsia" w:ascii="宋体" w:hAnsi="宋体" w:eastAsia="宋体" w:cs="宋体"/>
              </w:rPr>
              <w:t>掌握运用金融衍生工具的基本方法 , 具有一定金融衍生工具和实际工作能力。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617" w:type="dxa"/>
            <w:vAlign w:val="center"/>
          </w:tcPr>
          <w:p>
            <w:pPr>
              <w:pStyle w:val="2"/>
              <w:spacing w:before="156" w:beforeLines="50" w:after="156" w:afterLines="50"/>
              <w:jc w:val="center"/>
              <w:rPr>
                <w:rFonts w:hAnsi="宋体" w:cs="宋体"/>
              </w:rPr>
            </w:pPr>
            <w:r>
              <w:rPr>
                <w:rFonts w:hint="eastAsia" w:hAnsi="宋体" w:cs="宋体"/>
              </w:rPr>
              <w:t>2.1</w:t>
            </w:r>
          </w:p>
        </w:tc>
        <w:tc>
          <w:tcPr>
            <w:tcW w:w="3460" w:type="dxa"/>
            <w:vAlign w:val="center"/>
          </w:tcPr>
          <w:p>
            <w:pPr>
              <w:pStyle w:val="2"/>
              <w:spacing w:before="156" w:beforeLines="50" w:after="156" w:afterLines="50"/>
              <w:jc w:val="center"/>
              <w:rPr>
                <w:rFonts w:ascii="黑体" w:hAnsi="宋体"/>
                <w:szCs w:val="21"/>
              </w:rPr>
            </w:pPr>
            <w:r>
              <w:rPr>
                <w:rFonts w:hint="eastAsia" w:hAnsi="宋体" w:cs="宋体"/>
              </w:rPr>
              <w:t>各</w:t>
            </w:r>
            <w:r>
              <w:rPr>
                <w:rFonts w:hint="eastAsia" w:ascii="黑体" w:hAnsi="宋体"/>
                <w:szCs w:val="21"/>
              </w:rPr>
              <w:t>类基础金融衍生工具的</w:t>
            </w:r>
          </w:p>
          <w:p>
            <w:pPr>
              <w:pStyle w:val="2"/>
              <w:spacing w:before="156" w:beforeLines="50" w:after="156" w:afterLines="50"/>
              <w:jc w:val="center"/>
              <w:rPr>
                <w:rFonts w:hAnsi="宋体" w:cs="宋体"/>
              </w:rPr>
            </w:pPr>
            <w:r>
              <w:rPr>
                <w:rFonts w:hint="eastAsia" w:ascii="黑体" w:hAnsi="宋体"/>
                <w:szCs w:val="21"/>
              </w:rPr>
              <w:t>含义和特点</w:t>
            </w:r>
          </w:p>
        </w:tc>
        <w:tc>
          <w:tcPr>
            <w:tcW w:w="2688" w:type="dxa"/>
            <w:vAlign w:val="center"/>
          </w:tcPr>
          <w:p>
            <w:pPr>
              <w:spacing w:before="156" w:beforeLines="50" w:after="156" w:afterLines="50"/>
              <w:jc w:val="left"/>
              <w:rPr>
                <w:rFonts w:ascii="宋体" w:hAnsi="宋体" w:eastAsia="宋体" w:cs="宋体"/>
                <w:szCs w:val="20"/>
              </w:rPr>
            </w:pPr>
            <w:r>
              <w:rPr>
                <w:rFonts w:hint="eastAsia" w:ascii="宋体" w:hAnsi="宋体" w:eastAsia="宋体" w:cs="宋体"/>
              </w:rPr>
              <w:t>掌握各类基础金融衍生工具的含义和特点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Ansi="宋体" w:cs="宋体"/>
              </w:rPr>
            </w:pPr>
            <w:r>
              <w:rPr>
                <w:rFonts w:hint="eastAsia" w:hAnsi="宋体" w:cs="宋体"/>
              </w:rPr>
              <w:t>2.2</w:t>
            </w:r>
          </w:p>
        </w:tc>
        <w:tc>
          <w:tcPr>
            <w:tcW w:w="3460" w:type="dxa"/>
            <w:vAlign w:val="center"/>
          </w:tcPr>
          <w:p>
            <w:pPr>
              <w:pStyle w:val="2"/>
              <w:spacing w:before="156" w:beforeLines="50" w:after="156" w:afterLines="50"/>
              <w:jc w:val="center"/>
              <w:rPr>
                <w:rFonts w:hAnsi="宋体" w:cs="宋体"/>
              </w:rPr>
            </w:pPr>
            <w:r>
              <w:rPr>
                <w:rFonts w:hint="eastAsia" w:hAnsi="宋体" w:cs="宋体"/>
              </w:rPr>
              <w:t>各类基础金融衍生工具的</w:t>
            </w:r>
          </w:p>
          <w:p>
            <w:pPr>
              <w:pStyle w:val="2"/>
              <w:spacing w:before="156" w:beforeLines="50" w:after="156" w:afterLines="50"/>
              <w:jc w:val="center"/>
              <w:rPr>
                <w:rFonts w:hAnsi="宋体" w:cs="宋体"/>
              </w:rPr>
            </w:pPr>
            <w:r>
              <w:rPr>
                <w:rFonts w:hint="eastAsia" w:hAnsi="宋体" w:cs="宋体"/>
              </w:rPr>
              <w:t>定价原理</w:t>
            </w:r>
          </w:p>
        </w:tc>
        <w:tc>
          <w:tcPr>
            <w:tcW w:w="2688" w:type="dxa"/>
            <w:vAlign w:val="center"/>
          </w:tcPr>
          <w:p>
            <w:pPr>
              <w:pStyle w:val="2"/>
              <w:spacing w:before="156" w:beforeLines="50" w:after="156" w:afterLines="50"/>
              <w:jc w:val="center"/>
              <w:rPr>
                <w:rFonts w:hAnsi="宋体" w:cs="宋体"/>
              </w:rPr>
            </w:pPr>
            <w:r>
              <w:rPr>
                <w:rFonts w:hint="eastAsia" w:hAnsi="宋体" w:cs="宋体"/>
              </w:rPr>
              <w:t>能熟练掌握各类基础金融衍生工具的定价原理，并对市场中金融衍生工具进行定价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617" w:type="dxa"/>
            <w:vAlign w:val="center"/>
          </w:tcPr>
          <w:p>
            <w:pPr>
              <w:pStyle w:val="2"/>
              <w:spacing w:before="156" w:beforeLines="50" w:after="156" w:afterLines="50"/>
              <w:jc w:val="center"/>
              <w:rPr>
                <w:rFonts w:hAnsi="宋体" w:cs="宋体"/>
              </w:rPr>
            </w:pPr>
            <w:r>
              <w:rPr>
                <w:rFonts w:hint="eastAsia" w:hAnsi="宋体" w:cs="宋体"/>
                <w:szCs w:val="21"/>
              </w:rPr>
              <w:t>3.1</w:t>
            </w:r>
          </w:p>
        </w:tc>
        <w:tc>
          <w:tcPr>
            <w:tcW w:w="3460" w:type="dxa"/>
            <w:vAlign w:val="center"/>
          </w:tcPr>
          <w:p>
            <w:pPr>
              <w:pStyle w:val="2"/>
              <w:spacing w:before="156" w:beforeLines="50" w:after="156" w:afterLines="50"/>
              <w:jc w:val="center"/>
              <w:rPr>
                <w:rFonts w:ascii="黑体" w:hAnsi="宋体"/>
                <w:szCs w:val="21"/>
              </w:rPr>
            </w:pPr>
            <w:r>
              <w:rPr>
                <w:rFonts w:hint="eastAsia" w:ascii="黑体" w:hAnsi="宋体"/>
                <w:szCs w:val="21"/>
              </w:rPr>
              <w:t>各类基础金融衍生工具在</w:t>
            </w:r>
          </w:p>
          <w:p>
            <w:pPr>
              <w:pStyle w:val="2"/>
              <w:spacing w:before="156" w:beforeLines="50" w:after="156" w:afterLines="50"/>
              <w:jc w:val="center"/>
              <w:rPr>
                <w:rFonts w:ascii="黑体" w:hAnsi="宋体"/>
                <w:b/>
                <w:bCs/>
                <w:szCs w:val="21"/>
              </w:rPr>
            </w:pPr>
            <w:r>
              <w:rPr>
                <w:rFonts w:hint="eastAsia" w:ascii="黑体" w:hAnsi="宋体"/>
                <w:szCs w:val="21"/>
              </w:rPr>
              <w:t>风险管理中的应用</w:t>
            </w:r>
          </w:p>
        </w:tc>
        <w:tc>
          <w:tcPr>
            <w:tcW w:w="2688" w:type="dxa"/>
            <w:vAlign w:val="center"/>
          </w:tcPr>
          <w:p>
            <w:pPr>
              <w:pStyle w:val="2"/>
              <w:spacing w:before="156" w:beforeLines="50" w:after="156" w:afterLines="50"/>
              <w:jc w:val="center"/>
              <w:rPr>
                <w:rFonts w:hAnsi="宋体" w:cs="宋体"/>
              </w:rPr>
            </w:pPr>
            <w:r>
              <w:rPr>
                <w:rFonts w:hint="eastAsia" w:hAnsi="宋体" w:cs="宋体"/>
              </w:rPr>
              <w:t>能够运用各类基础金融衍生工具进行风险管理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Ansi="宋体" w:cs="宋体"/>
              </w:rPr>
            </w:pPr>
            <w:r>
              <w:rPr>
                <w:rFonts w:hint="eastAsia" w:hAnsi="宋体" w:cs="宋体"/>
                <w:szCs w:val="21"/>
              </w:rPr>
              <w:t>3.2</w:t>
            </w:r>
          </w:p>
        </w:tc>
        <w:tc>
          <w:tcPr>
            <w:tcW w:w="3460" w:type="dxa"/>
            <w:vAlign w:val="center"/>
          </w:tcPr>
          <w:p>
            <w:pPr>
              <w:pStyle w:val="2"/>
              <w:spacing w:before="156" w:beforeLines="50" w:after="156" w:afterLines="50"/>
              <w:jc w:val="center"/>
              <w:rPr>
                <w:rFonts w:ascii="黑体" w:hAnsi="宋体"/>
                <w:szCs w:val="21"/>
              </w:rPr>
            </w:pPr>
            <w:r>
              <w:rPr>
                <w:rFonts w:hint="eastAsia" w:ascii="黑体" w:hAnsi="宋体"/>
                <w:szCs w:val="21"/>
              </w:rPr>
              <w:t>各类基础金融衍生工具进行</w:t>
            </w:r>
          </w:p>
          <w:p>
            <w:pPr>
              <w:pStyle w:val="2"/>
              <w:spacing w:before="156" w:beforeLines="50" w:after="156" w:afterLines="50"/>
              <w:jc w:val="center"/>
              <w:rPr>
                <w:rFonts w:ascii="黑体" w:hAnsi="宋体"/>
                <w:b/>
                <w:bCs/>
                <w:szCs w:val="21"/>
              </w:rPr>
            </w:pPr>
            <w:r>
              <w:rPr>
                <w:rFonts w:hint="eastAsia" w:ascii="黑体" w:hAnsi="宋体"/>
                <w:szCs w:val="21"/>
              </w:rPr>
              <w:t>套利的基本方法和技能</w:t>
            </w:r>
          </w:p>
        </w:tc>
        <w:tc>
          <w:tcPr>
            <w:tcW w:w="2688" w:type="dxa"/>
            <w:vAlign w:val="center"/>
          </w:tcPr>
          <w:p>
            <w:pPr>
              <w:spacing w:before="156" w:beforeLines="50" w:after="156" w:afterLines="50"/>
              <w:jc w:val="left"/>
              <w:rPr>
                <w:rFonts w:ascii="宋体" w:hAnsi="宋体" w:eastAsia="宋体" w:cs="宋体"/>
              </w:rPr>
            </w:pPr>
            <w:r>
              <w:rPr>
                <w:rFonts w:hint="eastAsia" w:ascii="宋体" w:hAnsi="宋体" w:eastAsia="宋体" w:cs="宋体"/>
              </w:rPr>
              <w:t>能够运用各类基础金融衍生工具进行套利</w:t>
            </w:r>
          </w:p>
        </w:tc>
      </w:tr>
    </w:tbl>
    <w:p>
      <w:pPr>
        <w:widowControl/>
        <w:numPr>
          <w:ilvl w:val="0"/>
          <w:numId w:val="2"/>
        </w:numPr>
        <w:spacing w:before="156" w:beforeLines="50" w:after="156" w:afterLines="50"/>
        <w:ind w:firstLine="562" w:firstLineChars="200"/>
        <w:jc w:val="left"/>
        <w:rPr>
          <w:rFonts w:ascii="黑体" w:hAnsi="黑体" w:eastAsia="黑体"/>
          <w:b/>
          <w:sz w:val="28"/>
          <w:szCs w:val="28"/>
        </w:rPr>
      </w:pPr>
      <w:r>
        <w:rPr>
          <w:rFonts w:hint="eastAsia" w:ascii="黑体" w:hAnsi="黑体" w:eastAsia="黑体"/>
          <w:b/>
          <w:sz w:val="28"/>
          <w:szCs w:val="28"/>
        </w:rPr>
        <w:t>教学内容</w:t>
      </w:r>
    </w:p>
    <w:p>
      <w:pPr>
        <w:widowControl/>
        <w:spacing w:before="156" w:beforeLines="50" w:after="156" w:afterLines="50"/>
        <w:jc w:val="left"/>
      </w:pPr>
      <w:r>
        <w:rPr>
          <w:rFonts w:hint="eastAsia" w:ascii="黑体" w:hAnsi="黑体" w:eastAsia="黑体" w:cs="Times New Roman"/>
          <w:b/>
          <w:sz w:val="24"/>
          <w:szCs w:val="24"/>
        </w:rPr>
        <w:t xml:space="preserve">  第一章 导论</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交易所市场和场外交易市场</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远期合约</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1）远期合约的收益</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2）远期价格和即期价格</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期货合约</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期权</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1）看涨期权</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2）看跌期权</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交易员的类型</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1）对冲者</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2）投机者</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6、危险</w:t>
      </w:r>
    </w:p>
    <w:p>
      <w:pPr>
        <w:widowControl/>
        <w:spacing w:before="156" w:beforeLines="50" w:after="156" w:afterLines="50" w:line="240" w:lineRule="auto"/>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案例：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雷曼兄弟的破产（高杠杆、高风险投资的失败，企业的社会责任和不可持续的发展）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2008年法国兴业银行的重大损失（利用金融衍生工具投机的失败）</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课后推荐阅读</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Chancellor E. Devil Take the Hindmost—A History of Financial Speculation. New York: Farra Straus Giroux, 2000</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宋体"/>
          <w:color w:val="000000"/>
          <w:kern w:val="0"/>
          <w:szCs w:val="21"/>
        </w:rPr>
        <w:t>Merton R. C. Financial Theory and Future Trends: The Shift to Integration, Risk 12, 7(July 1999): 48-51</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第二章 期货市场与中央交易对手 </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背景知识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期货合约的规格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期货价格与即期价格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保证金账户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1）每日结算制度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2）清算中心与其会员</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3）信用风险</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场外市场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1）中央交易对手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2）双边结算</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3）期货交易与场外交易</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6 市场报价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1）报价和结算价格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2）交易量和未平仓合约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7 交割</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8 交易员类型和交易指令类型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9 会计和税收</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课后推荐阅读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Duffie D. and H. Zhu. Does a central Clearing Counterparty Reduce Counterparty Risk? Review of Asset Pricing Studies 1, 1(2001): 74-95</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Jorion P. Risk Management Lessons from Long-Term Capital Management. European Financial Management 6, 3(September 2000): 277-300</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第三章 利用期货的对冲策略</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对冲的基本原理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1）空头对冲</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2）多头对冲</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拥护与反对对冲的观点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1）对冲与股东</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2）对冲与竞争</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3）对冲的结果</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基差风险</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1）基差的概念</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2）对合约的选择</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交叉对冲</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1）计算最小方差对冲比率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2）最优合约数量</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股指期货</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1）股票组合的对冲</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2）改变组合的β</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6 向前滚动对冲</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案例：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黄金矿业公司的对冲策略（如何利用远期合约对冲黄金价格的波动风险）</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德国金属公司对冲的失误（对冲策略的失效）</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课后推荐阅读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 xml:space="preserve">Adam T. and C. S. Fernando. Hedging，Speculation，and Shareholder Value. Journal of Financial Economics，81, 2(August 2006):283-309 </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Allayannis G and J. Weston. The Use of Foreign Currency Derivatives and Firm Market Value. Review of  Financial Studies, 14, 1(Spring 2001): 243-276</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第四章 利率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利率的种类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1）国债利率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2）LIBOR</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3）回购利率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互换利率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无风险利率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利率的度量</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1）离散复利</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2）连续复利</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债券定价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1）债券收益率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2）平价收益率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6 零息利率的确定</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1）国债利率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2）OIS利率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7 远期利率合约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8 久期</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1）麦考利久期</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2）修正久期</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9 凸性</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案例：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奥兰治县对收益率曲线的赌博（奥兰治县的社会责任）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流动性和</w:t>
      </w:r>
      <w:r>
        <w:rPr>
          <w:rFonts w:ascii="宋体" w:hAnsi="宋体" w:eastAsia="宋体" w:cs="TimesNewRomanPSMT"/>
          <w:color w:val="000000"/>
          <w:kern w:val="0"/>
          <w:szCs w:val="21"/>
        </w:rPr>
        <w:t>2007-2009年金融危机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课后推荐阅读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Fabozzi F. J. Bond Market, Analysis, and Strategies, 8th edn. Upper Saddle River, NJ: Pearson, 2012</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Stigum M. and A. Crescenzi. Money Markets, 4th edn. New York: McGraw Hill, 2007</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第五章 确定远期和期货价格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投资资产与消费资产</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卖空交易</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无中间收入资产的远期价格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已知中间收入资产的远期价格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已知收益率资产的远期价格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6 远期合约的定价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7 股指期货价格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8 货币的远期和期货合约</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9 商品期货</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1）收入和贮存费用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2）消费商品</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3）便利收益率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4）持有成本</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案例：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基德公司令人难堪的失误（金融机构交易员的专业性的质疑）</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是系统错误吗？（期货合约与远期合约结算的差异）</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课后推荐阅读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Cox J. C., J. E. Ingersoll, and S. A. Ross. Relation between Forward Prices and Future Price. Journal of Financial Economics. 9(December 1981): 321-346</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Richard  S. and S. Sundaresan. A Continuous-Tine Model of Forward and Futures Prices in a Multigood Economy. Journal of Financial Economics. 9(December 1981): 347-372</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第六章 利率期货</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天数计算和报价惯例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1）天数计算</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2）美元短期债券的报价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3）美国长期债券的报价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美国国债期货</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1）美国国债期货的报价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2）转换因子</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3）最便宜可交割债券</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4）期货价格的确定</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欧洲美元期货</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1）远期与期货利率的比较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2）凸性调整</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基于久期的期货对冲策略</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对于资产与负债组合的对冲</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案例：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天数计算可能会使人迷惑</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万能牌规则（期货空头的选择权）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课后课后阅读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Burghardt G. and W. Hoskins. The Convexity Bias in Eurodollar Futures. Risk 8, 3(1995): 63-70</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Grinblatt M. and N. Jegadeesh. The Relative Price of  Eurodollar Futures and Forward Contracts. Journal of Finance. 51, 4(september 1996): 1499-1522</w:t>
      </w:r>
    </w:p>
    <w:p>
      <w:pPr>
        <w:widowControl/>
        <w:spacing w:before="156" w:beforeLines="50" w:after="156" w:afterLines="50"/>
        <w:ind w:firstLine="482" w:firstLineChars="200"/>
        <w:jc w:val="left"/>
        <w:rPr>
          <w:rFonts w:ascii="TimesNewRomanPSMT" w:hAnsi="TimesNewRomanPSMT" w:eastAsia="黑体" w:cs="TimesNewRomanPSMT"/>
          <w:color w:val="000000"/>
          <w:kern w:val="0"/>
          <w:sz w:val="20"/>
          <w:szCs w:val="20"/>
        </w:rPr>
      </w:pPr>
      <w:r>
        <w:rPr>
          <w:rFonts w:hint="eastAsia" w:ascii="黑体" w:hAnsi="黑体" w:eastAsia="黑体" w:cs="Times New Roman"/>
          <w:b/>
          <w:sz w:val="24"/>
          <w:szCs w:val="24"/>
        </w:rPr>
        <w:t>第七章 互换</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互换合约的机制</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1）互换合约的例示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2）利用互换转变负债的性质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3）利用互换转变资产的性质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天数计算惯例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相对优势的观点</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利率互换定价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1）确定LIBOR远期利率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2）互换合约的价值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货币互换定价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6 信用风险</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7 信用违约互换</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8 其他类型的互换</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案例：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互换合约交易的确认书摘要</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哈默史密斯和富勒姆的故事（互换合约的有效性，法律风险）</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课后推荐阅读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Alm J. and F. Lindskog. Foreign Currency Interest Rate Swaps in Asset-Liability Management for Insurers. European Actuarial Journal  3(2013): 133-158</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Litzenberger R. H. Swape Plain and Fanciful. Journal of Finance. 47, 3(1992): 831-850</w:t>
      </w:r>
    </w:p>
    <w:p>
      <w:pPr>
        <w:widowControl/>
        <w:spacing w:before="156" w:beforeLines="50" w:after="156" w:afterLines="50"/>
        <w:ind w:firstLine="482" w:firstLineChars="200"/>
        <w:jc w:val="left"/>
        <w:rPr>
          <w:rFonts w:ascii="TimesNewRomanPSMT" w:hAnsi="TimesNewRomanPSMT" w:eastAsia="黑体" w:cs="TimesNewRomanPSMT"/>
          <w:color w:val="000000"/>
          <w:kern w:val="0"/>
          <w:sz w:val="20"/>
          <w:szCs w:val="20"/>
        </w:rPr>
      </w:pPr>
      <w:r>
        <w:rPr>
          <w:rFonts w:hint="eastAsia" w:ascii="黑体" w:hAnsi="黑体" w:eastAsia="黑体" w:cs="Times New Roman"/>
          <w:b/>
          <w:sz w:val="24"/>
          <w:szCs w:val="24"/>
        </w:rPr>
        <w:t>第八章 证券化与</w:t>
      </w:r>
      <w:r>
        <w:rPr>
          <w:rFonts w:ascii="黑体" w:hAnsi="黑体" w:eastAsia="黑体" w:cs="Times New Roman"/>
          <w:b/>
          <w:sz w:val="24"/>
          <w:szCs w:val="24"/>
        </w:rPr>
        <w:t>2007年信用危机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证券化</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1）资产支持证券（ABS）</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2）资产支持证券的债务抵押债券</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美国住房市场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1）借贷标准的放松</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2）次级按揭贷款的证券化</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3）泡沫破裂</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4）信用危机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问题出在哪里？</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1）监管套利</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2）动机</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危机的后果</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案例：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巴塞尔委员会（全球金融稳定视角下的国际金融监管的必要性以及我国巴塞尔协议的实施）</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课后推荐阅读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Gorton G. The Subprime Panic. European Financial Management 15, 1(January 2009): 19-46</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Hull J. C. and A. White. Ratings Arbitrage and Structured Products. Journal of Derivatives 20, 1(Fall 2012): 80-86</w:t>
      </w:r>
    </w:p>
    <w:p>
      <w:pPr>
        <w:widowControl/>
        <w:spacing w:before="156" w:beforeLines="50" w:after="156" w:afterLines="50"/>
        <w:ind w:firstLine="482" w:firstLineChars="200"/>
        <w:jc w:val="left"/>
        <w:rPr>
          <w:rFonts w:ascii="TimesNewRomanPSMT" w:hAnsi="TimesNewRomanPSMT" w:eastAsia="黑体" w:cs="TimesNewRomanPSMT"/>
          <w:color w:val="000000"/>
          <w:kern w:val="0"/>
          <w:sz w:val="20"/>
          <w:szCs w:val="20"/>
        </w:rPr>
      </w:pPr>
      <w:r>
        <w:rPr>
          <w:rFonts w:hint="eastAsia" w:ascii="黑体" w:hAnsi="黑体" w:eastAsia="黑体" w:cs="Times New Roman"/>
          <w:b/>
          <w:sz w:val="24"/>
          <w:szCs w:val="24"/>
        </w:rPr>
        <w:t>第十章 期权市场机制</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期权类型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1）看涨期权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2）看跌期权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期权头寸</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标的资产的种类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1）股票期权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2）交易所产品（ETP）期权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3）货币期权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4）指数期权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5）期货期权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股票期权的细节</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1）到期日</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2）执行价格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3）其他非标准产品</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4）股息和股票分股</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交易</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1）做市商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2）冲销指令</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3）佣金</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4）保证金</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6 期权结算公司</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7 税收</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8 认股权证、雇员股票期权和可转换债券</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案例：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Gucci集团的大额股息（大额股息对期权条款的影响）</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TimesNewRomanPSMT"/>
          <w:color w:val="000000"/>
          <w:kern w:val="0"/>
          <w:szCs w:val="21"/>
        </w:rPr>
        <w:t>使用期权的税务计划（如何利用国家间不同的税务制度实施合理的税务计划）</w:t>
      </w:r>
      <w:r>
        <w:rPr>
          <w:rFonts w:hint="eastAsia" w:ascii="宋体" w:hAnsi="宋体" w:eastAsia="宋体" w:cs="宋体"/>
          <w:color w:val="000000"/>
          <w:kern w:val="0"/>
          <w:szCs w:val="21"/>
        </w:rPr>
        <w:t>。</w:t>
      </w:r>
    </w:p>
    <w:p>
      <w:pPr>
        <w:widowControl/>
        <w:spacing w:before="156" w:beforeLines="50" w:after="156" w:afterLines="50"/>
        <w:ind w:firstLine="482" w:firstLineChars="200"/>
        <w:jc w:val="left"/>
        <w:rPr>
          <w:rFonts w:ascii="TimesNewRomanPSMT" w:hAnsi="TimesNewRomanPSMT" w:eastAsia="黑体" w:cs="TimesNewRomanPSMT"/>
          <w:color w:val="000000"/>
          <w:kern w:val="0"/>
          <w:sz w:val="20"/>
          <w:szCs w:val="20"/>
        </w:rPr>
      </w:pPr>
      <w:r>
        <w:rPr>
          <w:rFonts w:hint="eastAsia" w:ascii="黑体" w:hAnsi="黑体" w:eastAsia="黑体" w:cs="Times New Roman"/>
          <w:b/>
          <w:sz w:val="24"/>
          <w:szCs w:val="24"/>
        </w:rPr>
        <w:t>第十一章 股票期权的性质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影响期权价格的因素类型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1）股票价格与执行价格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2）期权期限</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3）波动率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4）无风险利率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期权价格的上限和下限</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1）期权价格的上限</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2）无股息股票的看涨期权的下限</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3）无股息股票的看跌期权的下限</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看涨-看跌平价公式</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无股息股票的看涨期权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无股息股票的看跌期权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1）看涨期权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2）看跌期权</w:t>
      </w:r>
      <w:r>
        <w:rPr>
          <w:rFonts w:ascii="宋体" w:hAnsi="宋体" w:eastAsia="宋体" w:cs="TimesNewRomanPSMT"/>
          <w:color w:val="000000"/>
          <w:kern w:val="0"/>
          <w:szCs w:val="21"/>
        </w:rPr>
        <w:tab/>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案例：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看涨</w:t>
      </w:r>
      <w:r>
        <w:rPr>
          <w:rFonts w:ascii="宋体" w:hAnsi="宋体" w:eastAsia="宋体" w:cs="TimesNewRomanPSMT"/>
          <w:color w:val="000000"/>
          <w:kern w:val="0"/>
          <w:szCs w:val="21"/>
        </w:rPr>
        <w:t>-看跌平价公式与资本结构</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课后推荐阅读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Merton R. C. On the Pricing of Corporate Debt: The Risk Structure of Interest Rates. Journal of Finance. 29, 2(1974): 449-470</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Stoll H. R. The Relationship Between Put and Call Option Prices. Journal of Finance. 24(December 1969): 801-824</w:t>
      </w:r>
    </w:p>
    <w:p>
      <w:pPr>
        <w:widowControl/>
        <w:spacing w:before="156" w:beforeLines="50" w:after="156" w:afterLines="50"/>
        <w:ind w:firstLine="482" w:firstLineChars="200"/>
        <w:jc w:val="left"/>
        <w:rPr>
          <w:rFonts w:ascii="TimesNewRomanPSMT" w:hAnsi="TimesNewRomanPSMT" w:eastAsia="黑体" w:cs="TimesNewRomanPSMT"/>
          <w:color w:val="000000"/>
          <w:kern w:val="0"/>
          <w:sz w:val="20"/>
          <w:szCs w:val="20"/>
        </w:rPr>
      </w:pPr>
      <w:r>
        <w:rPr>
          <w:rFonts w:hint="eastAsia" w:ascii="黑体" w:hAnsi="黑体" w:eastAsia="黑体" w:cs="Times New Roman"/>
          <w:b/>
          <w:sz w:val="24"/>
          <w:szCs w:val="24"/>
        </w:rPr>
        <w:t>第十二章 期权交易策略</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保本债券</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交易单一期权与股票的策略</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差价策略</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1）牛市差价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2）熊市差价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3）盒式差价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4）碟式差价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5）日历差价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6）对角差价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组合策略</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1）跨式组合</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2）序列组合与带式组合</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3）异价跨式组合</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案例：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盒式差价产生的损失（美式期权与欧式期权的定价差异）</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如何从跨式组合交易中盈利（事件性套利策略的有效性）</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课后推荐阅读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Chaput J. S. and L. H. Ederington. Optoin Spread and Combination Trading. Journal of Derivatives. 10, 4(Summer 2003): 70-88</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Rendleman R. J. Covered Call Writing from an Expected Utility Perspective. Journal of Derivatives. 8, 3(Spring 2001): 63-75</w:t>
      </w:r>
    </w:p>
    <w:p>
      <w:pPr>
        <w:widowControl/>
        <w:spacing w:before="156" w:beforeLines="50" w:after="156" w:afterLines="50"/>
        <w:ind w:firstLine="482" w:firstLineChars="200"/>
        <w:jc w:val="left"/>
        <w:rPr>
          <w:rFonts w:ascii="TimesNewRomanPSMT" w:hAnsi="TimesNewRomanPSMT" w:eastAsia="黑体" w:cs="TimesNewRomanPSMT"/>
          <w:color w:val="000000"/>
          <w:kern w:val="0"/>
          <w:sz w:val="20"/>
          <w:szCs w:val="20"/>
        </w:rPr>
      </w:pPr>
      <w:r>
        <w:rPr>
          <w:rFonts w:hint="eastAsia" w:ascii="黑体" w:hAnsi="黑体" w:eastAsia="黑体" w:cs="Times New Roman"/>
          <w:b/>
          <w:sz w:val="24"/>
          <w:szCs w:val="24"/>
        </w:rPr>
        <w:t>第十三章 二叉树</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w:t>
      </w:r>
      <w:r>
        <w:rPr>
          <w:rFonts w:hint="eastAsia" w:ascii="宋体" w:hAnsi="宋体" w:eastAsia="宋体" w:cs="TimesNewRomanPSMT"/>
          <w:color w:val="000000"/>
          <w:kern w:val="0"/>
          <w:szCs w:val="21"/>
        </w:rPr>
        <w:t>）掌握定性数据分析步骤；（2）理解定性研究的信度和效度；（3）掌握分析定性数据的方法；（4）了解大数据。</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教学重难点：（1）定性数据的分析步骤；（2）定性研究的信度与效度</w:t>
      </w:r>
      <w:r>
        <w:rPr>
          <w:rFonts w:hint="eastAsia" w:ascii="宋体" w:hAnsi="宋体" w:eastAsia="宋体" w:cs="TimesNewRomanPSMT"/>
          <w:color w:val="000000"/>
          <w:kern w:val="0"/>
          <w:szCs w:val="21"/>
        </w:rPr>
        <w:t>；（3）分析定性数据的方法。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教学内容：（1）定性数据的分析步骤；（2）定性研究的信度与效度</w:t>
      </w:r>
      <w:r>
        <w:rPr>
          <w:rFonts w:hint="eastAsia" w:ascii="宋体" w:hAnsi="宋体" w:eastAsia="宋体" w:cs="TimesNewRomanPSMT"/>
          <w:color w:val="000000"/>
          <w:kern w:val="0"/>
          <w:szCs w:val="21"/>
        </w:rPr>
        <w:t>；（3）分析定性数据的方法；（4）大数据。</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教学方法：讲授、讨论、举例。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教学评价：根据</w:t>
      </w:r>
      <w:r>
        <w:rPr>
          <w:rFonts w:ascii="宋体" w:hAnsi="宋体" w:eastAsia="宋体" w:cs="TimesNewRomanPSMT"/>
          <w:color w:val="000000"/>
          <w:kern w:val="0"/>
          <w:szCs w:val="21"/>
        </w:rPr>
        <w:t>1 单步二叉树模型与无套利方法</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风险中性定价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两步二叉树</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美式期权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delta</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6 u和d的选取</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7 二叉树公式</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8 其他标的资产上的期权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1）股指期权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2）货币期权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3）期货期权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课后推荐阅读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Cox J. C., S. A. Ross, and M. Rubinstein. Option Pricing: A Simplified Approach. Journal of Financial Economics. 7(October 1979): 229-264</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Rendleman R. and B. Bartter. Two State Option Pricing. Journal of Finance. 34(1979): 1092-1110</w:t>
      </w:r>
    </w:p>
    <w:p>
      <w:pPr>
        <w:widowControl/>
        <w:spacing w:before="156" w:beforeLines="50" w:after="156" w:afterLines="50"/>
        <w:ind w:firstLine="482" w:firstLineChars="200"/>
        <w:jc w:val="left"/>
        <w:rPr>
          <w:rFonts w:ascii="TimesNewRomanPSMT" w:hAnsi="TimesNewRomanPSMT" w:eastAsia="黑体" w:cs="TimesNewRomanPSMT"/>
          <w:color w:val="000000"/>
          <w:kern w:val="0"/>
          <w:sz w:val="20"/>
          <w:szCs w:val="20"/>
        </w:rPr>
      </w:pPr>
      <w:r>
        <w:rPr>
          <w:rFonts w:hint="eastAsia" w:ascii="黑体" w:hAnsi="黑体" w:eastAsia="黑体" w:cs="Times New Roman"/>
          <w:b/>
          <w:sz w:val="24"/>
          <w:szCs w:val="24"/>
        </w:rPr>
        <w:t>第十四章 维纳过程和伊藤引理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马尔可夫性质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连续时间随机过程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1）维纳过程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2）广义维纳过程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3）伊藤过程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描述股票价格的过程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1）离散时间模型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2）蒙特卡罗模拟</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伊藤引理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对数正态分布的性质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推荐阅读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Brealey R. A.  An Introduction to Risk and Return from Common Stock, 2ed edn. Cambridge MA: MIT Press. 1986</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Cox D. R. and H. D. Miller. The Theory of  Stochastic Processes. London: Chapman &amp; Hall. 1977</w:t>
      </w:r>
      <w:r>
        <w:rPr>
          <w:rFonts w:hint="eastAsia" w:ascii="宋体" w:hAnsi="宋体" w:eastAsia="宋体" w:cs="TimesNewRomanPSMT"/>
          <w:color w:val="000000"/>
          <w:kern w:val="0"/>
          <w:szCs w:val="21"/>
        </w:rPr>
        <w:t>。</w:t>
      </w:r>
    </w:p>
    <w:p>
      <w:pPr>
        <w:widowControl/>
        <w:spacing w:before="156" w:beforeLines="50" w:after="156" w:afterLines="50"/>
        <w:ind w:firstLine="482" w:firstLineChars="200"/>
        <w:jc w:val="left"/>
        <w:rPr>
          <w:rFonts w:ascii="TimesNewRomanPSMT" w:hAnsi="TimesNewRomanPSMT" w:eastAsia="黑体" w:cs="TimesNewRomanPSMT"/>
          <w:color w:val="000000"/>
          <w:kern w:val="0"/>
          <w:sz w:val="20"/>
          <w:szCs w:val="20"/>
        </w:rPr>
      </w:pPr>
      <w:r>
        <w:rPr>
          <w:rFonts w:hint="eastAsia" w:ascii="黑体" w:hAnsi="黑体" w:eastAsia="黑体" w:cs="Times New Roman"/>
          <w:b/>
          <w:sz w:val="24"/>
          <w:szCs w:val="24"/>
        </w:rPr>
        <w:t>第十五章 布莱克</w:t>
      </w:r>
      <w:r>
        <w:rPr>
          <w:rFonts w:ascii="黑体" w:hAnsi="黑体" w:eastAsia="黑体" w:cs="Times New Roman"/>
          <w:b/>
          <w:sz w:val="24"/>
          <w:szCs w:val="24"/>
        </w:rPr>
        <w:t>-斯科尔斯-默顿模型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股票价格的对数正态分布性质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股票收益率的分布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股票的期望收益</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波动率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1）历史数据估计的波动率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2）交易天数和日历天数</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布莱克-斯科尔斯-默顿微分方程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6 风险中性定价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7 布莱克-斯科尔斯-默顿定价公式</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1）如何理解N(d_1 )和N(d_2 )</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2）布莱克-斯科尔斯-默顿公式的性质</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8 累计正态分布函数</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9 隐含波动率</w:t>
      </w:r>
    </w:p>
    <w:p>
      <w:pPr>
        <w:widowControl/>
        <w:spacing w:before="156" w:beforeLines="50" w:after="156" w:afterLines="50"/>
        <w:ind w:firstLine="420" w:firstLineChars="200"/>
        <w:jc w:val="left"/>
        <w:rPr>
          <w:rFonts w:ascii="宋体" w:hAnsi="宋体" w:eastAsia="宋体" w:cs="TimesNewRomanPSMT"/>
          <w:color w:val="000000"/>
          <w:kern w:val="0"/>
          <w:szCs w:val="21"/>
        </w:rPr>
      </w:pP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案例：</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共同基金的收益率可能会令人误解</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认股权证、雇员期权和稀释效应</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推荐阅读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Kon S. J. Models of Stock Return – A Comparison. Journal of Finance. 39(March 1984): 147-165</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Black Fischer and Myron Scholes.  The Pricing of Options and Corporate Liabilities. Journal of Political Economy 81 (1973), P637-659</w:t>
      </w: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第十七章</w:t>
      </w:r>
      <w:r>
        <w:rPr>
          <w:rFonts w:ascii="黑体" w:hAnsi="黑体" w:eastAsia="黑体" w:cs="Times New Roman"/>
          <w:b/>
          <w:sz w:val="24"/>
          <w:szCs w:val="24"/>
        </w:rPr>
        <w:t xml:space="preserve"> </w:t>
      </w:r>
      <w:r>
        <w:rPr>
          <w:rFonts w:hint="eastAsia" w:ascii="黑体" w:hAnsi="黑体" w:eastAsia="黑体" w:cs="Times New Roman"/>
          <w:b/>
          <w:sz w:val="24"/>
          <w:szCs w:val="24"/>
        </w:rPr>
        <w:t>股指期权和货币期权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1 股指期权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1）投资组合保险</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2）当投资组合的β≠1时</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2 货币期权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3 支付已知连续股息率的股票期权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1）期权价格的下限</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2）期权平价关系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3）定价公式</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4）微分方程和风险中性定价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4 欧式股指期权的定价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1）远期价格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w:t>
      </w:r>
      <w:r>
        <w:rPr>
          <w:rFonts w:ascii="宋体" w:hAnsi="宋体" w:eastAsia="宋体" w:cs="TimesNewRomanPSMT"/>
          <w:color w:val="000000"/>
          <w:kern w:val="0"/>
          <w:szCs w:val="21"/>
        </w:rPr>
        <w:t>2）隐含股息收益率</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 欧式货币期权的定价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6 美式期权</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推荐阅读</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Bodie Z. On the Risk of Stocks in the Long Run. Financial Analysis Journal. 51, 3(1995): 18-22</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Grabbe J. O. The Pricing of  Call and Put Option on Foreign Exchange. Journal of International Money and Finance. 2(December 1983): 293-253(December 1983): 293-253</w:t>
      </w: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27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第一章 </w:t>
            </w:r>
          </w:p>
        </w:tc>
        <w:tc>
          <w:tcPr>
            <w:tcW w:w="3278" w:type="dxa"/>
            <w:vAlign w:val="center"/>
          </w:tcPr>
          <w:p>
            <w:pPr>
              <w:widowControl/>
              <w:jc w:val="center"/>
              <w:rPr>
                <w:rFonts w:ascii="宋体" w:hAnsi="宋体" w:eastAsia="宋体"/>
              </w:rPr>
            </w:pPr>
            <w:r>
              <w:rPr>
                <w:rFonts w:hint="eastAsia" w:ascii="宋体" w:hAnsi="宋体" w:eastAsia="宋体"/>
              </w:rPr>
              <w:t>导论</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第二章 </w:t>
            </w:r>
          </w:p>
        </w:tc>
        <w:tc>
          <w:tcPr>
            <w:tcW w:w="3278" w:type="dxa"/>
            <w:vAlign w:val="center"/>
          </w:tcPr>
          <w:p>
            <w:pPr>
              <w:widowControl/>
              <w:jc w:val="center"/>
              <w:rPr>
                <w:rFonts w:ascii="宋体" w:hAnsi="宋体" w:eastAsia="宋体"/>
              </w:rPr>
            </w:pPr>
            <w:r>
              <w:rPr>
                <w:rFonts w:hint="eastAsia" w:ascii="宋体" w:hAnsi="宋体" w:eastAsia="宋体"/>
              </w:rPr>
              <w:t>期货市场与中央交易对手</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第三章 </w:t>
            </w:r>
          </w:p>
        </w:tc>
        <w:tc>
          <w:tcPr>
            <w:tcW w:w="3278" w:type="dxa"/>
            <w:vAlign w:val="center"/>
          </w:tcPr>
          <w:p>
            <w:pPr>
              <w:widowControl/>
              <w:jc w:val="center"/>
              <w:rPr>
                <w:rFonts w:ascii="宋体" w:hAnsi="宋体" w:eastAsia="宋体"/>
              </w:rPr>
            </w:pPr>
            <w:r>
              <w:rPr>
                <w:rFonts w:hint="eastAsia" w:ascii="宋体" w:hAnsi="宋体" w:eastAsia="宋体"/>
              </w:rPr>
              <w:t>利用期货的对冲策略</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第四章 </w:t>
            </w:r>
          </w:p>
        </w:tc>
        <w:tc>
          <w:tcPr>
            <w:tcW w:w="3278" w:type="dxa"/>
            <w:vAlign w:val="center"/>
          </w:tcPr>
          <w:p>
            <w:pPr>
              <w:widowControl/>
              <w:jc w:val="center"/>
              <w:rPr>
                <w:rFonts w:ascii="宋体" w:hAnsi="宋体" w:eastAsia="宋体"/>
              </w:rPr>
            </w:pPr>
            <w:r>
              <w:rPr>
                <w:rFonts w:hint="eastAsia" w:ascii="宋体" w:hAnsi="宋体" w:eastAsia="宋体"/>
              </w:rPr>
              <w:t>利率</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第五章 </w:t>
            </w:r>
          </w:p>
        </w:tc>
        <w:tc>
          <w:tcPr>
            <w:tcW w:w="3278" w:type="dxa"/>
            <w:vAlign w:val="center"/>
          </w:tcPr>
          <w:p>
            <w:pPr>
              <w:jc w:val="center"/>
              <w:rPr>
                <w:rFonts w:ascii="宋体" w:hAnsi="宋体" w:eastAsia="宋体"/>
              </w:rPr>
            </w:pPr>
            <w:r>
              <w:rPr>
                <w:rFonts w:hint="eastAsia" w:ascii="宋体" w:hAnsi="宋体" w:eastAsia="宋体"/>
              </w:rPr>
              <w:t>确定远期和期货价格</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第六章 </w:t>
            </w:r>
          </w:p>
        </w:tc>
        <w:tc>
          <w:tcPr>
            <w:tcW w:w="3278" w:type="dxa"/>
            <w:vAlign w:val="center"/>
          </w:tcPr>
          <w:p>
            <w:pPr>
              <w:jc w:val="center"/>
              <w:rPr>
                <w:rFonts w:ascii="宋体" w:hAnsi="宋体" w:eastAsia="宋体"/>
              </w:rPr>
            </w:pPr>
            <w:r>
              <w:rPr>
                <w:rFonts w:hint="eastAsia" w:ascii="宋体" w:hAnsi="宋体" w:eastAsia="宋体"/>
              </w:rPr>
              <w:t>利率期货</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第七章 </w:t>
            </w:r>
          </w:p>
        </w:tc>
        <w:tc>
          <w:tcPr>
            <w:tcW w:w="3278" w:type="dxa"/>
            <w:vAlign w:val="center"/>
          </w:tcPr>
          <w:p>
            <w:pPr>
              <w:widowControl/>
              <w:jc w:val="center"/>
              <w:rPr>
                <w:rFonts w:ascii="宋体" w:hAnsi="宋体" w:eastAsia="宋体"/>
              </w:rPr>
            </w:pPr>
            <w:r>
              <w:rPr>
                <w:rFonts w:hint="eastAsia" w:ascii="宋体" w:hAnsi="宋体" w:eastAsia="宋体"/>
              </w:rPr>
              <w:t>互换</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第八章 </w:t>
            </w:r>
          </w:p>
        </w:tc>
        <w:tc>
          <w:tcPr>
            <w:tcW w:w="3278" w:type="dxa"/>
            <w:vAlign w:val="center"/>
          </w:tcPr>
          <w:p>
            <w:pPr>
              <w:jc w:val="center"/>
              <w:rPr>
                <w:rFonts w:ascii="宋体" w:hAnsi="宋体" w:eastAsia="宋体"/>
              </w:rPr>
            </w:pPr>
            <w:r>
              <w:rPr>
                <w:rFonts w:hint="eastAsia" w:ascii="宋体" w:hAnsi="宋体" w:eastAsia="宋体"/>
              </w:rPr>
              <w:t>证券化与</w:t>
            </w:r>
            <w:r>
              <w:rPr>
                <w:rFonts w:ascii="宋体" w:hAnsi="宋体" w:eastAsia="宋体"/>
              </w:rPr>
              <w:t>2007年信用危机</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第十章 </w:t>
            </w:r>
          </w:p>
        </w:tc>
        <w:tc>
          <w:tcPr>
            <w:tcW w:w="3278" w:type="dxa"/>
            <w:vAlign w:val="center"/>
          </w:tcPr>
          <w:p>
            <w:pPr>
              <w:widowControl/>
              <w:jc w:val="center"/>
              <w:rPr>
                <w:rFonts w:ascii="宋体" w:hAnsi="宋体" w:eastAsia="宋体"/>
              </w:rPr>
            </w:pPr>
            <w:r>
              <w:rPr>
                <w:rFonts w:hint="eastAsia" w:ascii="宋体" w:hAnsi="宋体" w:eastAsia="宋体"/>
              </w:rPr>
              <w:t>期权市场机制</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第十一章 </w:t>
            </w:r>
          </w:p>
        </w:tc>
        <w:tc>
          <w:tcPr>
            <w:tcW w:w="3278" w:type="dxa"/>
            <w:vAlign w:val="center"/>
          </w:tcPr>
          <w:p>
            <w:pPr>
              <w:widowControl/>
              <w:jc w:val="center"/>
              <w:rPr>
                <w:rFonts w:ascii="宋体" w:hAnsi="宋体" w:eastAsia="宋体"/>
              </w:rPr>
            </w:pPr>
            <w:r>
              <w:rPr>
                <w:rFonts w:hint="eastAsia" w:ascii="宋体" w:hAnsi="宋体" w:eastAsia="宋体"/>
              </w:rPr>
              <w:t>股票期权的性质</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第十二章 </w:t>
            </w:r>
          </w:p>
        </w:tc>
        <w:tc>
          <w:tcPr>
            <w:tcW w:w="3278" w:type="dxa"/>
            <w:vAlign w:val="center"/>
          </w:tcPr>
          <w:p>
            <w:pPr>
              <w:widowControl/>
              <w:jc w:val="center"/>
              <w:rPr>
                <w:rFonts w:ascii="宋体" w:hAnsi="宋体" w:eastAsia="宋体"/>
              </w:rPr>
            </w:pPr>
            <w:r>
              <w:rPr>
                <w:rFonts w:hint="eastAsia" w:ascii="宋体" w:hAnsi="宋体" w:eastAsia="宋体"/>
              </w:rPr>
              <w:t>期权交易策略</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第十三章 </w:t>
            </w:r>
          </w:p>
        </w:tc>
        <w:tc>
          <w:tcPr>
            <w:tcW w:w="3278" w:type="dxa"/>
            <w:vAlign w:val="center"/>
          </w:tcPr>
          <w:p>
            <w:pPr>
              <w:widowControl/>
              <w:jc w:val="center"/>
              <w:rPr>
                <w:rFonts w:ascii="宋体" w:hAnsi="宋体" w:eastAsia="宋体"/>
              </w:rPr>
            </w:pPr>
            <w:r>
              <w:rPr>
                <w:rFonts w:hint="eastAsia" w:ascii="宋体" w:hAnsi="宋体" w:eastAsia="宋体"/>
              </w:rPr>
              <w:t>二叉树</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 xml:space="preserve">第十四章 </w:t>
            </w:r>
          </w:p>
        </w:tc>
        <w:tc>
          <w:tcPr>
            <w:tcW w:w="3278" w:type="dxa"/>
            <w:vAlign w:val="center"/>
          </w:tcPr>
          <w:p>
            <w:pPr>
              <w:widowControl/>
              <w:jc w:val="center"/>
              <w:rPr>
                <w:rFonts w:ascii="宋体" w:hAnsi="宋体" w:eastAsia="宋体"/>
              </w:rPr>
            </w:pPr>
            <w:r>
              <w:rPr>
                <w:rFonts w:hint="eastAsia" w:ascii="宋体" w:hAnsi="宋体" w:eastAsia="宋体"/>
              </w:rPr>
              <w:t>维纳过程和伊藤引理</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第十五章</w:t>
            </w:r>
          </w:p>
        </w:tc>
        <w:tc>
          <w:tcPr>
            <w:tcW w:w="3278" w:type="dxa"/>
            <w:vAlign w:val="center"/>
          </w:tcPr>
          <w:p>
            <w:pPr>
              <w:widowControl/>
              <w:jc w:val="center"/>
              <w:rPr>
                <w:rFonts w:ascii="宋体" w:hAnsi="宋体" w:eastAsia="宋体"/>
              </w:rPr>
            </w:pPr>
            <w:r>
              <w:rPr>
                <w:rFonts w:hint="eastAsia" w:ascii="宋体" w:hAnsi="宋体" w:eastAsia="宋体"/>
              </w:rPr>
              <w:t>布莱克</w:t>
            </w:r>
            <w:r>
              <w:rPr>
                <w:rFonts w:ascii="宋体" w:hAnsi="宋体" w:eastAsia="宋体"/>
              </w:rPr>
              <w:t>-斯科尔斯-默顿模型</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第十七章</w:t>
            </w:r>
          </w:p>
        </w:tc>
        <w:tc>
          <w:tcPr>
            <w:tcW w:w="3278" w:type="dxa"/>
            <w:vAlign w:val="center"/>
          </w:tcPr>
          <w:p>
            <w:pPr>
              <w:widowControl/>
              <w:jc w:val="center"/>
              <w:rPr>
                <w:rFonts w:ascii="宋体" w:hAnsi="宋体" w:eastAsia="宋体"/>
              </w:rPr>
            </w:pPr>
            <w:r>
              <w:rPr>
                <w:rFonts w:hint="eastAsia" w:ascii="宋体" w:hAnsi="宋体" w:eastAsia="宋体"/>
              </w:rPr>
              <w:t>股指期权和货币期权</w:t>
            </w:r>
          </w:p>
        </w:tc>
        <w:tc>
          <w:tcPr>
            <w:tcW w:w="2253" w:type="dxa"/>
            <w:vAlign w:val="center"/>
          </w:tcPr>
          <w:p>
            <w:pPr>
              <w:widowControl/>
              <w:spacing w:before="156" w:beforeLines="50" w:after="156" w:afterLines="50"/>
              <w:jc w:val="center"/>
              <w:rPr>
                <w:rFonts w:ascii="宋体" w:hAnsi="宋体" w:eastAsia="宋体"/>
              </w:rPr>
            </w:pPr>
            <w:r>
              <w:rPr>
                <w:rFonts w:ascii="宋体" w:hAnsi="宋体" w:eastAsia="宋体"/>
              </w:rPr>
              <w:t>3</w:t>
            </w:r>
          </w:p>
        </w:tc>
      </w:tr>
    </w:tbl>
    <w:p>
      <w:pPr>
        <w:widowControl/>
        <w:numPr>
          <w:ilvl w:val="0"/>
          <w:numId w:val="3"/>
        </w:numPr>
        <w:spacing w:before="156" w:beforeLines="50" w:after="156" w:afterLines="50"/>
        <w:jc w:val="left"/>
        <w:rPr>
          <w:rFonts w:ascii="黑体" w:hAnsi="黑体" w:eastAsia="黑体"/>
          <w:b/>
          <w:sz w:val="28"/>
          <w:szCs w:val="28"/>
        </w:rPr>
      </w:pPr>
      <w:r>
        <w:rPr>
          <w:rFonts w:hint="eastAsia" w:ascii="黑体" w:hAnsi="黑体" w:eastAsia="黑体"/>
          <w:b/>
          <w:sz w:val="28"/>
          <w:szCs w:val="28"/>
        </w:rPr>
        <w:t>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8"/>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1418"/>
        <w:gridCol w:w="2126"/>
        <w:gridCol w:w="567"/>
        <w:gridCol w:w="198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70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41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12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56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98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567"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导论</w:t>
            </w:r>
            <w:r>
              <w:rPr>
                <w:rFonts w:ascii="宋体" w:hAnsi="宋体" w:eastAsia="宋体"/>
                <w:szCs w:val="21"/>
              </w:rPr>
              <w:t xml:space="preserve"> /</w:t>
            </w:r>
            <w:r>
              <w:rPr>
                <w:rFonts w:hint="eastAsia" w:ascii="宋体" w:hAnsi="宋体" w:eastAsia="宋体"/>
                <w:szCs w:val="21"/>
              </w:rPr>
              <w:t>期货市场与中央交易对手</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金融衍生工具产生的背景，主要基础金融衍生工具合约以及市场、交易制度</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阅读有关案例并讨论</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3</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利用期货的对冲策略</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利用期货合约进行最优对冲的策略以及对冲结果</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3</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掌握最优对冲策略，课后练习题</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利率</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掌握各类利率的定义和度量、债券定价以及风险度量指标</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4</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掌握收益率的度量、债券的定价和风险指标的计算，课后练习题</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5</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确定远期和期货价格</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color w:val="000000"/>
                <w:kern w:val="0"/>
                <w:szCs w:val="21"/>
              </w:rPr>
              <w:t>三种情形下的远期价格的定价以及应用</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4</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color w:val="000000"/>
                <w:kern w:val="0"/>
                <w:szCs w:val="21"/>
              </w:rPr>
              <w:t>掌握远期合约的定价，</w:t>
            </w:r>
            <w:r>
              <w:rPr>
                <w:rFonts w:hint="eastAsia" w:ascii="宋体" w:hAnsi="宋体" w:eastAsia="宋体"/>
                <w:szCs w:val="21"/>
              </w:rPr>
              <w:t>课后练习题</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6</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利率期货</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掌握利率期货的定价原理以及基于久期的期货对冲策略</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3</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掌握利率期货的定价，课后练习题</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7-8</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互换</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掌握互换合约的概念、种类及其定价原理，通过案例探讨互换合约的有效性和存在的法律风险</w:t>
            </w:r>
          </w:p>
        </w:tc>
        <w:tc>
          <w:tcPr>
            <w:tcW w:w="567"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4</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掌握互换合约的定价原理、互换合约的有效性，课后练习题</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8</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rPr>
            </w:pPr>
            <w:r>
              <w:rPr>
                <w:rFonts w:hint="eastAsia" w:ascii="宋体" w:hAnsi="宋体" w:eastAsia="宋体"/>
              </w:rPr>
              <w:t>证券化与</w:t>
            </w:r>
          </w:p>
          <w:p>
            <w:pPr>
              <w:widowControl/>
              <w:spacing w:before="156" w:beforeLines="50" w:after="156" w:afterLines="50"/>
              <w:jc w:val="center"/>
              <w:rPr>
                <w:rFonts w:ascii="宋体" w:hAnsi="宋体" w:eastAsia="宋体"/>
              </w:rPr>
            </w:pPr>
            <w:r>
              <w:rPr>
                <w:rFonts w:ascii="宋体" w:hAnsi="宋体" w:eastAsia="宋体"/>
              </w:rPr>
              <w:t>2007年信用危机</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掌握资产证券化原理，探讨</w:t>
            </w:r>
            <w:r>
              <w:rPr>
                <w:rFonts w:ascii="宋体" w:hAnsi="宋体" w:eastAsia="宋体"/>
                <w:szCs w:val="21"/>
              </w:rPr>
              <w:t>2007年信用危机产生的原因、启示及国际金融监管的必要性以及我国巴塞尔协议的实施</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2</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掌握资产证券化原理，探讨</w:t>
            </w:r>
            <w:r>
              <w:rPr>
                <w:rFonts w:ascii="宋体" w:hAnsi="宋体" w:eastAsia="宋体"/>
                <w:szCs w:val="21"/>
              </w:rPr>
              <w:t>2007年信用危机</w:t>
            </w:r>
            <w:r>
              <w:rPr>
                <w:rFonts w:hint="eastAsia" w:ascii="宋体" w:hAnsi="宋体" w:eastAsia="宋体"/>
                <w:szCs w:val="21"/>
              </w:rPr>
              <w:t>所带来的启示</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9</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rPr>
            </w:pPr>
            <w:r>
              <w:rPr>
                <w:rFonts w:hint="eastAsia" w:ascii="宋体" w:hAnsi="宋体" w:eastAsia="宋体"/>
              </w:rPr>
              <w:t>期权市场机制</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掌握期权市场的交易机制，通过案例探讨如何利用国家间不同的税务制度实施合理的税务计划</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3</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掌握期权市场的交易机制，探讨利用期权实施合理的税务计划</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10</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rPr>
            </w:pPr>
            <w:r>
              <w:rPr>
                <w:rFonts w:hint="eastAsia" w:ascii="宋体" w:hAnsi="宋体" w:eastAsia="宋体"/>
              </w:rPr>
              <w:t>股票期权</w:t>
            </w:r>
          </w:p>
          <w:p>
            <w:pPr>
              <w:widowControl/>
              <w:spacing w:before="156" w:beforeLines="50" w:after="156" w:afterLines="50"/>
              <w:jc w:val="center"/>
              <w:rPr>
                <w:rFonts w:ascii="宋体" w:hAnsi="宋体" w:eastAsia="宋体"/>
              </w:rPr>
            </w:pPr>
            <w:r>
              <w:rPr>
                <w:rFonts w:hint="eastAsia" w:ascii="宋体" w:hAnsi="宋体" w:eastAsia="宋体"/>
              </w:rPr>
              <w:t>的性质</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掌握期权价格的上限和下限和看涨</w:t>
            </w:r>
            <w:r>
              <w:rPr>
                <w:rFonts w:ascii="宋体" w:hAnsi="宋体" w:eastAsia="宋体"/>
                <w:szCs w:val="21"/>
              </w:rPr>
              <w:t>-看跌平价公式</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3</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掌握期权价格的上限和下限和看涨</w:t>
            </w:r>
            <w:r>
              <w:rPr>
                <w:rFonts w:ascii="宋体" w:hAnsi="宋体" w:eastAsia="宋体"/>
                <w:szCs w:val="21"/>
              </w:rPr>
              <w:t>-看跌平价公式</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11</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rPr>
            </w:pPr>
            <w:r>
              <w:rPr>
                <w:rFonts w:hint="eastAsia" w:ascii="宋体" w:hAnsi="宋体" w:eastAsia="宋体"/>
              </w:rPr>
              <w:t>期权交易策略</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掌握各种期权的交易策略，探讨事件性套利策略的有效性</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3</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掌握各种期权的交易策略，探讨如何利用期权制定套利策略</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12-13</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rPr>
            </w:pPr>
            <w:r>
              <w:rPr>
                <w:rFonts w:hint="eastAsia" w:ascii="宋体" w:hAnsi="宋体" w:eastAsia="宋体"/>
              </w:rPr>
              <w:t>二叉树</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掌握二叉树模型、无套利定价原理、风险中性定价原理</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4</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掌握二叉树定价模型，课后练习题</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13-15</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rPr>
            </w:pPr>
            <w:r>
              <w:rPr>
                <w:rFonts w:hint="eastAsia" w:ascii="宋体" w:hAnsi="宋体" w:eastAsia="宋体"/>
              </w:rPr>
              <w:t>维纳过程和伊藤引理</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掌握伊藤引理，并运用维纳过程描述股票价格的过程</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6</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掌握伊藤引理，课后练习题</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15-16</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rPr>
            </w:pPr>
            <w:r>
              <w:rPr>
                <w:rFonts w:hint="eastAsia" w:ascii="宋体" w:hAnsi="宋体" w:eastAsia="宋体"/>
              </w:rPr>
              <w:t>布莱克</w:t>
            </w:r>
            <w:r>
              <w:rPr>
                <w:rFonts w:ascii="宋体" w:hAnsi="宋体" w:eastAsia="宋体"/>
              </w:rPr>
              <w:t>-斯科尔斯-默顿模型</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w:t>
            </w:r>
            <w:r>
              <w:rPr>
                <w:rFonts w:hint="eastAsia" w:ascii="宋体" w:hAnsi="宋体" w:eastAsia="宋体"/>
              </w:rPr>
              <w:t>布莱克</w:t>
            </w:r>
            <w:r>
              <w:rPr>
                <w:rFonts w:ascii="宋体" w:hAnsi="宋体" w:eastAsia="宋体"/>
              </w:rPr>
              <w:t>-斯科尔斯-默顿模型</w:t>
            </w:r>
            <w:r>
              <w:rPr>
                <w:rFonts w:hint="eastAsia" w:ascii="宋体" w:hAnsi="宋体" w:eastAsia="宋体"/>
              </w:rPr>
              <w:t>和隐含波动率</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5</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掌握</w:t>
            </w:r>
            <w:r>
              <w:rPr>
                <w:rFonts w:hint="eastAsia" w:ascii="宋体" w:hAnsi="宋体" w:eastAsia="宋体"/>
              </w:rPr>
              <w:t>布莱克</w:t>
            </w:r>
            <w:r>
              <w:rPr>
                <w:rFonts w:ascii="宋体" w:hAnsi="宋体" w:eastAsia="宋体"/>
              </w:rPr>
              <w:t>-斯科尔斯-默顿模型</w:t>
            </w:r>
            <w:r>
              <w:rPr>
                <w:rFonts w:hint="eastAsia" w:ascii="宋体" w:hAnsi="宋体" w:eastAsia="宋体"/>
              </w:rPr>
              <w:t>，</w:t>
            </w:r>
            <w:r>
              <w:rPr>
                <w:rFonts w:hint="eastAsia" w:ascii="宋体" w:hAnsi="宋体" w:eastAsia="宋体"/>
                <w:szCs w:val="21"/>
              </w:rPr>
              <w:t>课后练习题</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17</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rPr>
            </w:pPr>
            <w:r>
              <w:rPr>
                <w:rFonts w:hint="eastAsia" w:ascii="宋体" w:hAnsi="宋体" w:eastAsia="宋体"/>
              </w:rPr>
              <w:t>股指期权和货币期权</w:t>
            </w:r>
          </w:p>
        </w:tc>
        <w:tc>
          <w:tcPr>
            <w:tcW w:w="212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运用布莱克</w:t>
            </w:r>
            <w:r>
              <w:rPr>
                <w:rFonts w:ascii="宋体" w:hAnsi="宋体" w:eastAsia="宋体"/>
              </w:rPr>
              <w:t>-斯科尔斯-默顿模型</w:t>
            </w:r>
            <w:r>
              <w:rPr>
                <w:rFonts w:hint="eastAsia" w:ascii="宋体" w:hAnsi="宋体" w:eastAsia="宋体"/>
              </w:rPr>
              <w:t>对股指期权和货币期权进行定价</w:t>
            </w:r>
          </w:p>
        </w:tc>
        <w:tc>
          <w:tcPr>
            <w:tcW w:w="567"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3</w:t>
            </w:r>
          </w:p>
        </w:tc>
        <w:tc>
          <w:tcPr>
            <w:tcW w:w="1984"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rPr>
              <w:t>定价股指期权和货币期权，</w:t>
            </w:r>
            <w:r>
              <w:rPr>
                <w:rFonts w:hint="eastAsia" w:ascii="宋体" w:hAnsi="宋体" w:eastAsia="宋体"/>
                <w:szCs w:val="21"/>
              </w:rPr>
              <w:t>课后练习题</w:t>
            </w:r>
          </w:p>
        </w:tc>
        <w:tc>
          <w:tcPr>
            <w:tcW w:w="567"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szCs w:val="21"/>
              </w:rPr>
            </w:pPr>
            <w:r>
              <w:rPr>
                <w:rFonts w:ascii="宋体" w:hAnsi="宋体" w:eastAsia="宋体"/>
                <w:szCs w:val="21"/>
              </w:rPr>
              <w:t>18</w:t>
            </w:r>
          </w:p>
        </w:tc>
        <w:tc>
          <w:tcPr>
            <w:tcW w:w="709" w:type="dxa"/>
            <w:vAlign w:val="center"/>
          </w:tcPr>
          <w:p>
            <w:pPr>
              <w:widowControl/>
              <w:spacing w:before="156" w:beforeLines="50" w:after="156" w:afterLines="50"/>
              <w:jc w:val="center"/>
              <w:rPr>
                <w:rFonts w:ascii="宋体" w:hAnsi="宋体" w:eastAsia="宋体"/>
                <w:szCs w:val="21"/>
              </w:rPr>
            </w:pPr>
          </w:p>
        </w:tc>
        <w:tc>
          <w:tcPr>
            <w:tcW w:w="1418" w:type="dxa"/>
            <w:vAlign w:val="center"/>
          </w:tcPr>
          <w:p>
            <w:pPr>
              <w:widowControl/>
              <w:spacing w:before="156" w:beforeLines="50" w:after="156" w:afterLines="50"/>
              <w:jc w:val="center"/>
              <w:rPr>
                <w:rFonts w:ascii="宋体" w:hAnsi="宋体" w:eastAsia="宋体"/>
              </w:rPr>
            </w:pPr>
            <w:r>
              <w:rPr>
                <w:rFonts w:hint="eastAsia" w:ascii="宋体" w:hAnsi="宋体" w:eastAsia="宋体"/>
              </w:rPr>
              <w:t>考试周</w:t>
            </w:r>
          </w:p>
        </w:tc>
        <w:tc>
          <w:tcPr>
            <w:tcW w:w="2126" w:type="dxa"/>
            <w:vAlign w:val="center"/>
          </w:tcPr>
          <w:p>
            <w:pPr>
              <w:widowControl/>
              <w:spacing w:before="156" w:beforeLines="50" w:after="156" w:afterLines="50"/>
              <w:jc w:val="center"/>
              <w:rPr>
                <w:rFonts w:ascii="宋体" w:hAnsi="宋体" w:eastAsia="宋体"/>
                <w:szCs w:val="21"/>
              </w:rPr>
            </w:pPr>
          </w:p>
        </w:tc>
        <w:tc>
          <w:tcPr>
            <w:tcW w:w="567" w:type="dxa"/>
            <w:vAlign w:val="center"/>
          </w:tcPr>
          <w:p>
            <w:pPr>
              <w:widowControl/>
              <w:spacing w:before="156" w:beforeLines="50" w:after="156" w:afterLines="50"/>
              <w:jc w:val="center"/>
              <w:rPr>
                <w:rFonts w:ascii="宋体" w:hAnsi="宋体" w:eastAsia="宋体"/>
                <w:szCs w:val="21"/>
              </w:rPr>
            </w:pPr>
          </w:p>
        </w:tc>
        <w:tc>
          <w:tcPr>
            <w:tcW w:w="1984" w:type="dxa"/>
            <w:vAlign w:val="center"/>
          </w:tcPr>
          <w:p>
            <w:pPr>
              <w:widowControl/>
              <w:spacing w:before="156" w:beforeLines="50" w:after="156" w:afterLines="50"/>
              <w:jc w:val="center"/>
              <w:rPr>
                <w:rFonts w:ascii="宋体" w:hAnsi="宋体" w:eastAsia="宋体"/>
                <w:szCs w:val="21"/>
              </w:rPr>
            </w:pPr>
          </w:p>
        </w:tc>
        <w:tc>
          <w:tcPr>
            <w:tcW w:w="567"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rPr>
          <w:rFonts w:eastAsia="黑体"/>
        </w:rPr>
      </w:pPr>
      <w:r>
        <w:rPr>
          <w:rFonts w:hint="eastAsia" w:ascii="黑体" w:hAnsi="黑体" w:eastAsia="黑体"/>
          <w:b/>
          <w:sz w:val="28"/>
          <w:szCs w:val="28"/>
        </w:rPr>
        <w:t>六、教材及参考书目（以最新版为准）</w:t>
      </w:r>
    </w:p>
    <w:p>
      <w:pPr>
        <w:widowControl/>
        <w:spacing w:before="156" w:beforeLines="50" w:after="156" w:afterLines="50"/>
        <w:ind w:firstLine="420" w:firstLineChars="200"/>
        <w:jc w:val="left"/>
        <w:rPr>
          <w:rFonts w:ascii="宋体" w:hAnsi="宋体" w:eastAsia="宋体"/>
        </w:rPr>
      </w:pPr>
      <w:r>
        <w:rPr>
          <w:rFonts w:ascii="宋体" w:hAnsi="宋体" w:eastAsia="宋体"/>
        </w:rPr>
        <w:t>1</w:t>
      </w:r>
      <w:r>
        <w:rPr>
          <w:rFonts w:hint="eastAsia" w:ascii="宋体" w:hAnsi="宋体" w:eastAsia="宋体"/>
        </w:rPr>
        <w:t>．John</w:t>
      </w:r>
      <w:r>
        <w:rPr>
          <w:rFonts w:ascii="宋体" w:hAnsi="宋体" w:eastAsia="宋体"/>
        </w:rPr>
        <w:t xml:space="preserve"> </w:t>
      </w:r>
      <w:r>
        <w:rPr>
          <w:rFonts w:hint="eastAsia" w:ascii="宋体" w:hAnsi="宋体" w:eastAsia="宋体"/>
        </w:rPr>
        <w:t>Hull，《期权、期货及其他衍生产品》（第</w:t>
      </w:r>
      <w:r>
        <w:rPr>
          <w:rFonts w:ascii="宋体" w:hAnsi="宋体" w:eastAsia="宋体"/>
        </w:rPr>
        <w:t>10版），机械工业出版社，2019年</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2．Sali</w:t>
      </w:r>
      <w:r>
        <w:rPr>
          <w:rFonts w:ascii="宋体" w:hAnsi="宋体" w:eastAsia="宋体"/>
        </w:rPr>
        <w:t>h N. Neftci</w:t>
      </w:r>
      <w:r>
        <w:rPr>
          <w:rFonts w:hint="eastAsia" w:ascii="宋体" w:hAnsi="宋体" w:eastAsia="宋体"/>
        </w:rPr>
        <w:t>.《金融工程原理》，（第</w:t>
      </w:r>
      <w:r>
        <w:rPr>
          <w:rFonts w:ascii="宋体" w:hAnsi="宋体" w:eastAsia="宋体"/>
        </w:rPr>
        <w:t>2版），机械工业出版社，2010年</w:t>
      </w:r>
      <w:r>
        <w:rPr>
          <w:rFonts w:hint="eastAsia" w:ascii="宋体" w:hAnsi="宋体" w:eastAsia="宋体"/>
        </w:rPr>
        <w:t>；</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hint="eastAsia" w:ascii="黑体" w:hAnsi="黑体" w:eastAsia="黑体"/>
          <w:b/>
          <w:sz w:val="28"/>
          <w:szCs w:val="28"/>
        </w:rPr>
        <w:t xml:space="preserve"> 七、教学方法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1．讲授法：理论讲授，主要教学方法，贯穿教学全过程。</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2．讨论法：对本门课程的主要内容，采用问题形式，在师生和学生之间展开讨论。</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3.比较法：通过比较不同研究方式、研究方法等，深化学生对相关知识点的认识。</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4.举例法：通过举例，强化学生对相关知识点的认识。</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5.案例分析法：通过案例解读、案例问题回答，提高学生理论知识运用能力。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 xml:space="preserve"> 八</w:t>
      </w:r>
      <w:r>
        <w:rPr>
          <w:rFonts w:hint="eastAsia" w:ascii="黑体" w:hAnsi="黑体" w:eastAsia="黑体" w:cs="黑体"/>
          <w:b/>
          <w:sz w:val="28"/>
          <w:szCs w:val="28"/>
        </w:rPr>
        <w:t>、</w:t>
      </w:r>
      <w:r>
        <w:rPr>
          <w:rFonts w:hint="eastAsia" w:ascii="黑体" w:hAnsi="黑体" w:eastAsia="黑体"/>
          <w:b/>
          <w:sz w:val="28"/>
          <w:szCs w:val="28"/>
        </w:rPr>
        <w:t>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rPr>
                <w:rFonts w:hAnsi="宋体"/>
                <w:b/>
              </w:rPr>
            </w:pPr>
            <w:r>
              <w:rPr>
                <w:rFonts w:hint="eastAsia" w:hAnsi="宋体" w:cs="宋体"/>
                <w:bCs/>
              </w:rPr>
              <w:t>理解金融衍生工具在金融风险管理中的应用价值和应用范围</w:t>
            </w:r>
          </w:p>
        </w:tc>
        <w:tc>
          <w:tcPr>
            <w:tcW w:w="2849" w:type="dxa"/>
            <w:vAlign w:val="center"/>
          </w:tcPr>
          <w:p>
            <w:pPr>
              <w:pStyle w:val="13"/>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3"/>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jc w:val="center"/>
              <w:rPr>
                <w:rFonts w:hAnsi="宋体"/>
                <w:b/>
              </w:rPr>
            </w:pPr>
            <w:r>
              <w:rPr>
                <w:rFonts w:hint="eastAsia"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rPr>
                <w:rFonts w:hAnsi="宋体"/>
                <w:b/>
              </w:rPr>
            </w:pPr>
            <w:r>
              <w:rPr>
                <w:rFonts w:hint="eastAsia" w:ascii="宋体" w:hAnsi="宋体" w:eastAsia="宋体" w:cs="宋体"/>
                <w:bCs/>
                <w:szCs w:val="20"/>
              </w:rPr>
              <w:t>掌握各类基础金融衍生工具的定价原理</w:t>
            </w:r>
          </w:p>
        </w:tc>
        <w:tc>
          <w:tcPr>
            <w:tcW w:w="2849" w:type="dxa"/>
            <w:vAlign w:val="center"/>
          </w:tcPr>
          <w:p>
            <w:pPr>
              <w:pStyle w:val="13"/>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3"/>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jc w:val="center"/>
              <w:rPr>
                <w:rFonts w:hAnsi="宋体"/>
                <w:b/>
              </w:rPr>
            </w:pPr>
            <w:r>
              <w:rPr>
                <w:rFonts w:hint="eastAsia"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rPr>
                <w:rFonts w:hAnsi="宋体"/>
                <w:b/>
              </w:rPr>
            </w:pPr>
            <w:r>
              <w:rPr>
                <w:rFonts w:hint="eastAsia" w:hAnsi="宋体" w:cs="宋体"/>
                <w:bCs/>
              </w:rPr>
              <w:t>掌握各类基础金融衍生工具进行套利的基本方法和技能</w:t>
            </w:r>
          </w:p>
        </w:tc>
        <w:tc>
          <w:tcPr>
            <w:tcW w:w="2849" w:type="dxa"/>
            <w:vAlign w:val="center"/>
          </w:tcPr>
          <w:p>
            <w:pPr>
              <w:pStyle w:val="13"/>
              <w:spacing w:line="340" w:lineRule="exact"/>
              <w:jc w:val="center"/>
              <w:outlineLvl w:val="0"/>
              <w:rPr>
                <w:rFonts w:ascii="宋体" w:hAnsi="宋体"/>
                <w:color w:val="000000"/>
                <w:szCs w:val="21"/>
              </w:rPr>
            </w:pPr>
            <w:r>
              <w:rPr>
                <w:rFonts w:hint="eastAsia" w:ascii="宋体" w:hAnsi="宋体"/>
                <w:color w:val="000000"/>
                <w:szCs w:val="21"/>
              </w:rPr>
              <w:t>1.课堂交流</w:t>
            </w:r>
          </w:p>
          <w:p>
            <w:pPr>
              <w:pStyle w:val="13"/>
              <w:spacing w:line="340" w:lineRule="exact"/>
              <w:jc w:val="center"/>
              <w:outlineLvl w:val="0"/>
              <w:rPr>
                <w:rFonts w:ascii="宋体" w:hAnsi="宋体"/>
                <w:color w:val="000000"/>
                <w:szCs w:val="21"/>
              </w:rPr>
            </w:pPr>
            <w:r>
              <w:rPr>
                <w:rFonts w:hint="eastAsia" w:ascii="宋体" w:hAnsi="宋体"/>
                <w:color w:val="000000"/>
                <w:szCs w:val="21"/>
              </w:rPr>
              <w:t>2.课后作业</w:t>
            </w:r>
          </w:p>
          <w:p>
            <w:pPr>
              <w:pStyle w:val="2"/>
              <w:jc w:val="center"/>
              <w:rPr>
                <w:rFonts w:hAnsi="宋体"/>
                <w:b/>
              </w:rPr>
            </w:pPr>
            <w:r>
              <w:rPr>
                <w:rFonts w:hint="eastAsia" w:hAnsi="宋体"/>
                <w:color w:val="000000"/>
                <w:szCs w:val="21"/>
              </w:rPr>
              <w:t>3.期末考试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平时成绩（含考勤、课堂表现与作业）</w:t>
      </w:r>
      <w:r>
        <w:rPr>
          <w:rFonts w:ascii="宋体" w:hAnsi="宋体" w:eastAsia="宋体"/>
        </w:rPr>
        <w:t>3</w:t>
      </w:r>
      <w:r>
        <w:rPr>
          <w:rFonts w:hint="eastAsia" w:ascii="宋体" w:hAnsi="宋体" w:eastAsia="宋体"/>
        </w:rPr>
        <w:t>0</w:t>
      </w:r>
      <w:r>
        <w:rPr>
          <w:rFonts w:ascii="宋体" w:hAnsi="宋体" w:eastAsia="宋体"/>
        </w:rPr>
        <w:t>%</w:t>
      </w:r>
      <w:r>
        <w:rPr>
          <w:rFonts w:hint="eastAsia" w:ascii="宋体" w:hAnsi="宋体" w:eastAsia="宋体"/>
        </w:rPr>
        <w:t>，期中考试</w:t>
      </w:r>
      <w:r>
        <w:rPr>
          <w:rFonts w:ascii="宋体" w:hAnsi="宋体" w:eastAsia="宋体"/>
        </w:rPr>
        <w:t>2</w:t>
      </w:r>
      <w:r>
        <w:rPr>
          <w:rFonts w:hint="eastAsia" w:ascii="宋体" w:hAnsi="宋体" w:eastAsia="宋体"/>
        </w:rPr>
        <w:t>0</w:t>
      </w:r>
      <w:r>
        <w:rPr>
          <w:rFonts w:ascii="宋体" w:hAnsi="宋体" w:eastAsia="宋体"/>
        </w:rPr>
        <w:t>%</w:t>
      </w:r>
      <w:r>
        <w:rPr>
          <w:rFonts w:hint="eastAsia" w:ascii="宋体" w:hAnsi="宋体" w:eastAsia="宋体"/>
        </w:rPr>
        <w:t>；期末考试</w:t>
      </w:r>
      <w:r>
        <w:rPr>
          <w:rFonts w:ascii="宋体" w:hAnsi="宋体" w:eastAsia="宋体"/>
        </w:rPr>
        <w:t>50%</w:t>
      </w:r>
      <w:r>
        <w:rPr>
          <w:rFonts w:hint="eastAsia" w:ascii="宋体" w:hAnsi="宋体" w:eastAsia="宋体"/>
        </w:rPr>
        <w:t>，</w:t>
      </w:r>
      <w:r>
        <w:rPr>
          <w:rFonts w:hint="eastAsia" w:ascii="宋体" w:hAnsi="宋体" w:eastAsia="宋体" w:cs="宋体"/>
          <w:color w:val="000000"/>
          <w:szCs w:val="21"/>
        </w:rPr>
        <w:t>半开卷。</w:t>
      </w:r>
    </w:p>
    <w:p>
      <w:pPr>
        <w:widowControl/>
        <w:spacing w:before="156" w:beforeLines="50" w:after="156" w:afterLines="50"/>
        <w:ind w:firstLine="422" w:firstLineChars="200"/>
        <w:jc w:val="left"/>
        <w:rPr>
          <w:rFonts w:ascii="宋体" w:hAnsi="宋体" w:eastAsia="宋体"/>
          <w:b/>
        </w:rPr>
      </w:pPr>
      <w:r>
        <w:rPr>
          <w:rFonts w:hint="eastAsia" w:ascii="宋体" w:hAnsi="宋体" w:eastAsia="宋体"/>
          <w:b/>
        </w:rPr>
        <w:t xml:space="preserve">2．课程目标的考核占比与达成度分析 </w:t>
      </w:r>
    </w:p>
    <w:p>
      <w:pPr>
        <w:widowControl/>
        <w:spacing w:before="156" w:beforeLines="50" w:after="156" w:afterLines="50"/>
        <w:ind w:firstLine="420" w:firstLineChars="200"/>
        <w:jc w:val="left"/>
        <w:rPr>
          <w:rFonts w:ascii="宋体" w:hAnsi="宋体" w:eastAsia="宋体"/>
        </w:rPr>
      </w:pP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7"/>
        <w:tblW w:w="7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4</w:t>
            </w:r>
            <w:r>
              <w:rPr>
                <w:rFonts w:hint="eastAsia" w:ascii="宋体" w:hAnsi="宋体" w:eastAsia="宋体"/>
                <w:kern w:val="0"/>
                <w:szCs w:val="21"/>
              </w:rPr>
              <w:t>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10</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5</w:t>
            </w:r>
            <w:r>
              <w:rPr>
                <w:rFonts w:hint="eastAsia" w:ascii="宋体" w:hAnsi="宋体" w:eastAsia="宋体"/>
                <w:kern w:val="0"/>
                <w:szCs w:val="21"/>
              </w:rPr>
              <w:t>0</w:t>
            </w:r>
          </w:p>
        </w:tc>
        <w:tc>
          <w:tcPr>
            <w:tcW w:w="2627" w:type="dxa"/>
            <w:vMerge w:val="restart"/>
            <w:shd w:val="clear" w:color="auto" w:fill="auto"/>
            <w:vAlign w:val="center"/>
          </w:tcPr>
          <w:p>
            <w:pPr>
              <w:spacing w:before="156" w:beforeLines="50" w:after="156" w:afterLines="50"/>
              <w:rPr>
                <w:rFonts w:ascii="宋体" w:hAnsi="宋体" w:eastAsia="宋体" w:cs="宋体"/>
                <w:kern w:val="0"/>
                <w:szCs w:val="21"/>
              </w:rPr>
            </w:pPr>
            <w:r>
              <w:rPr>
                <w:rFonts w:hint="eastAsia" w:ascii="宋体" w:hAnsi="宋体" w:eastAsia="宋体" w:cs="宋体"/>
                <w:kern w:val="0"/>
                <w:szCs w:val="21"/>
              </w:rPr>
              <w:t>总评达成度={0.3ｘ平时分目标成绩 +</w:t>
            </w:r>
            <w:r>
              <w:rPr>
                <w:rFonts w:ascii="宋体" w:hAnsi="宋体" w:eastAsia="宋体" w:cs="宋体"/>
                <w:kern w:val="0"/>
                <w:szCs w:val="21"/>
              </w:rPr>
              <w:t xml:space="preserve"> </w:t>
            </w:r>
            <w:r>
              <w:rPr>
                <w:rFonts w:hint="eastAsia" w:ascii="宋体" w:hAnsi="宋体" w:eastAsia="宋体" w:cs="宋体"/>
                <w:kern w:val="0"/>
                <w:szCs w:val="21"/>
              </w:rPr>
              <w:t>0.</w:t>
            </w:r>
            <w:r>
              <w:rPr>
                <w:rFonts w:ascii="宋体" w:hAnsi="宋体" w:eastAsia="宋体" w:cs="宋体"/>
                <w:kern w:val="0"/>
                <w:szCs w:val="21"/>
              </w:rPr>
              <w:t>2</w:t>
            </w:r>
            <w:r>
              <w:rPr>
                <w:rFonts w:hint="eastAsia" w:ascii="宋体" w:hAnsi="宋体" w:eastAsia="宋体" w:cs="宋体"/>
                <w:kern w:val="0"/>
                <w:szCs w:val="21"/>
              </w:rPr>
              <w:t>ｘ期中分目标成绩 +</w:t>
            </w:r>
            <w:r>
              <w:rPr>
                <w:rFonts w:ascii="宋体" w:hAnsi="宋体" w:eastAsia="宋体" w:cs="宋体"/>
                <w:kern w:val="0"/>
                <w:szCs w:val="21"/>
              </w:rPr>
              <w:t xml:space="preserve"> </w:t>
            </w:r>
            <w:r>
              <w:rPr>
                <w:rFonts w:hint="eastAsia" w:ascii="宋体" w:hAnsi="宋体" w:eastAsia="宋体" w:cs="宋体"/>
                <w:kern w:val="0"/>
                <w:szCs w:val="21"/>
              </w:rPr>
              <w:t>0.</w:t>
            </w:r>
            <w:r>
              <w:rPr>
                <w:rFonts w:ascii="宋体" w:hAnsi="宋体" w:eastAsia="宋体" w:cs="宋体"/>
                <w:kern w:val="0"/>
                <w:szCs w:val="21"/>
              </w:rPr>
              <w:t>5</w:t>
            </w:r>
            <w:r>
              <w:rPr>
                <w:rFonts w:hint="eastAsia" w:ascii="宋体" w:hAnsi="宋体" w:eastAsia="宋体" w:cs="宋体"/>
                <w:kern w:val="0"/>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2</w:t>
            </w:r>
            <w:r>
              <w:rPr>
                <w:rFonts w:hint="eastAsia" w:ascii="宋体" w:hAnsi="宋体" w:eastAsia="宋体"/>
                <w:kern w:val="0"/>
                <w:szCs w:val="21"/>
              </w:rPr>
              <w:t>0</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5</w:t>
            </w:r>
            <w:r>
              <w:rPr>
                <w:rFonts w:hint="eastAsia" w:ascii="宋体" w:hAnsi="宋体" w:eastAsia="宋体"/>
                <w:kern w:val="0"/>
                <w:szCs w:val="21"/>
              </w:rPr>
              <w:t>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30</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kern w:val="0"/>
                <w:szCs w:val="21"/>
              </w:rPr>
              <w:t>5</w:t>
            </w:r>
            <w:r>
              <w:rPr>
                <w:rFonts w:hint="eastAsia" w:ascii="宋体" w:hAnsi="宋体" w:eastAsia="宋体"/>
                <w:kern w:val="0"/>
                <w:szCs w:val="21"/>
              </w:rPr>
              <w:t>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7"/>
        <w:tblW w:w="103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非常全面、准确地掌握金融衍生工具的应用价值和应用范围</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比较全面、准确地掌握金融衍生工具的应用价值和应用范围，</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掌握金融衍生工具的应用价值和应用范围，</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基本正确地掌握金融衍生工具的应用价值和应用范围</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不能正确掌握金融衍生工具的应用价值和应用范围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非常准确、深入地理解金融衍生工具的定价原理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比较准确、深入地理解金融衍生工具的定价原理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bCs/>
                <w:szCs w:val="20"/>
              </w:rPr>
              <w:t>对</w:t>
            </w:r>
            <w:r>
              <w:rPr>
                <w:rFonts w:hint="eastAsia" w:ascii="宋体" w:hAnsi="宋体" w:eastAsia="宋体"/>
                <w:szCs w:val="21"/>
              </w:rPr>
              <w:t>金融衍生工具的定价原理</w:t>
            </w:r>
            <w:r>
              <w:rPr>
                <w:rFonts w:hint="eastAsia" w:ascii="宋体" w:hAnsi="宋体" w:eastAsia="宋体" w:cs="宋体"/>
                <w:bCs/>
                <w:szCs w:val="20"/>
              </w:rPr>
              <w:t>的理解较为准确，但不够深入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基本正确地理解金融衍生工具的定价原理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不能正确理解金融衍生工具的定价原理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非常全面、准确地掌握各类基础金融衍生工具进行套利的基本方法和技能</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比较全面、准确地掌握各类基础金融衍生工具进行套利的基本方法和技能</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对各类基础金融衍生工具进行套利的基本方法和技能的掌握较为准确，但不够全面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基本正确地掌握各类基础金融衍生工具进行套利的基本方法和技能</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不能正确掌握各类基础金融衍生工具进行套利的基本方法和技能</w:t>
            </w:r>
          </w:p>
        </w:tc>
      </w:tr>
    </w:tbl>
    <w:p>
      <w:pPr>
        <w:widowControl/>
        <w:jc w:val="left"/>
        <w:rPr>
          <w:rFonts w:ascii="宋体" w:hAnsi="宋体" w:eastAsia="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TimesNewRomanPSMT">
    <w:altName w:val="Times New Roman"/>
    <w:panose1 w:val="00000000000000000000"/>
    <w:charset w:val="80"/>
    <w:family w:val="auto"/>
    <w:pitch w:val="default"/>
    <w:sig w:usb0="00000000" w:usb1="00000000" w:usb2="00000010" w:usb3="00000000" w:csb0="0002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561657"/>
    </w:sdtPr>
    <w:sdtContent>
      <w:p>
        <w:pPr>
          <w:pStyle w:val="4"/>
          <w:jc w:val="center"/>
        </w:pPr>
        <w:r>
          <w:fldChar w:fldCharType="begin"/>
        </w:r>
        <w:r>
          <w:instrText xml:space="preserve"> PAGE   \* MERGEFORMAT </w:instrText>
        </w:r>
        <w:r>
          <w:fldChar w:fldCharType="separate"/>
        </w:r>
        <w: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9470A"/>
    <w:multiLevelType w:val="singleLevel"/>
    <w:tmpl w:val="6499470A"/>
    <w:lvl w:ilvl="0" w:tentative="0">
      <w:start w:val="2"/>
      <w:numFmt w:val="chineseCounting"/>
      <w:suff w:val="nothing"/>
      <w:lvlText w:val="（%1）"/>
      <w:lvlJc w:val="left"/>
    </w:lvl>
  </w:abstractNum>
  <w:abstractNum w:abstractNumId="1">
    <w:nsid w:val="64994788"/>
    <w:multiLevelType w:val="singleLevel"/>
    <w:tmpl w:val="64994788"/>
    <w:lvl w:ilvl="0" w:tentative="0">
      <w:start w:val="3"/>
      <w:numFmt w:val="chineseCounting"/>
      <w:suff w:val="nothing"/>
      <w:lvlText w:val="%1、"/>
      <w:lvlJc w:val="left"/>
    </w:lvl>
  </w:abstractNum>
  <w:abstractNum w:abstractNumId="2">
    <w:nsid w:val="649947F8"/>
    <w:multiLevelType w:val="singleLevel"/>
    <w:tmpl w:val="649947F8"/>
    <w:lvl w:ilvl="0" w:tentative="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265CC"/>
    <w:rsid w:val="00077A5F"/>
    <w:rsid w:val="00084F34"/>
    <w:rsid w:val="000F054A"/>
    <w:rsid w:val="000F3830"/>
    <w:rsid w:val="0012402C"/>
    <w:rsid w:val="00143F51"/>
    <w:rsid w:val="00162403"/>
    <w:rsid w:val="00186757"/>
    <w:rsid w:val="001E5724"/>
    <w:rsid w:val="001F1D86"/>
    <w:rsid w:val="00201850"/>
    <w:rsid w:val="0022328D"/>
    <w:rsid w:val="00242673"/>
    <w:rsid w:val="00285327"/>
    <w:rsid w:val="002A7568"/>
    <w:rsid w:val="00313A87"/>
    <w:rsid w:val="00322986"/>
    <w:rsid w:val="0034254B"/>
    <w:rsid w:val="00350279"/>
    <w:rsid w:val="0038665C"/>
    <w:rsid w:val="003A5ACD"/>
    <w:rsid w:val="003B25FF"/>
    <w:rsid w:val="004070CF"/>
    <w:rsid w:val="00447DF0"/>
    <w:rsid w:val="0050088F"/>
    <w:rsid w:val="005A0378"/>
    <w:rsid w:val="005E18A3"/>
    <w:rsid w:val="005F47B8"/>
    <w:rsid w:val="00665621"/>
    <w:rsid w:val="006664F8"/>
    <w:rsid w:val="006C4520"/>
    <w:rsid w:val="006E4F82"/>
    <w:rsid w:val="006E6B2B"/>
    <w:rsid w:val="006F64C9"/>
    <w:rsid w:val="007639A2"/>
    <w:rsid w:val="007714DD"/>
    <w:rsid w:val="00796B7A"/>
    <w:rsid w:val="007C379D"/>
    <w:rsid w:val="007C62ED"/>
    <w:rsid w:val="007E39E3"/>
    <w:rsid w:val="008128AD"/>
    <w:rsid w:val="008439BD"/>
    <w:rsid w:val="008560E2"/>
    <w:rsid w:val="00886EBF"/>
    <w:rsid w:val="008B012C"/>
    <w:rsid w:val="008C6D7F"/>
    <w:rsid w:val="008C7F8F"/>
    <w:rsid w:val="008E215B"/>
    <w:rsid w:val="00926933"/>
    <w:rsid w:val="00943449"/>
    <w:rsid w:val="009A075D"/>
    <w:rsid w:val="009D4FDE"/>
    <w:rsid w:val="00A03BBD"/>
    <w:rsid w:val="00A61EFD"/>
    <w:rsid w:val="00A666D5"/>
    <w:rsid w:val="00AA4570"/>
    <w:rsid w:val="00AA630A"/>
    <w:rsid w:val="00AC2582"/>
    <w:rsid w:val="00AD1BBA"/>
    <w:rsid w:val="00AE3D1A"/>
    <w:rsid w:val="00AF68CA"/>
    <w:rsid w:val="00B03909"/>
    <w:rsid w:val="00B10A6A"/>
    <w:rsid w:val="00B40ECD"/>
    <w:rsid w:val="00B5455A"/>
    <w:rsid w:val="00B6576C"/>
    <w:rsid w:val="00B7032B"/>
    <w:rsid w:val="00BA23F0"/>
    <w:rsid w:val="00BB6F8F"/>
    <w:rsid w:val="00C00798"/>
    <w:rsid w:val="00C247DD"/>
    <w:rsid w:val="00C54636"/>
    <w:rsid w:val="00C87D23"/>
    <w:rsid w:val="00CA53B2"/>
    <w:rsid w:val="00D02F99"/>
    <w:rsid w:val="00D07D0B"/>
    <w:rsid w:val="00D13271"/>
    <w:rsid w:val="00D14471"/>
    <w:rsid w:val="00D417A1"/>
    <w:rsid w:val="00D504B7"/>
    <w:rsid w:val="00D679DB"/>
    <w:rsid w:val="00D715F7"/>
    <w:rsid w:val="00DD7B5F"/>
    <w:rsid w:val="00DE7849"/>
    <w:rsid w:val="00E05E8B"/>
    <w:rsid w:val="00E11378"/>
    <w:rsid w:val="00E366AB"/>
    <w:rsid w:val="00E65B65"/>
    <w:rsid w:val="00E76E34"/>
    <w:rsid w:val="00ED7F81"/>
    <w:rsid w:val="00F26476"/>
    <w:rsid w:val="00F56396"/>
    <w:rsid w:val="00F609F3"/>
    <w:rsid w:val="00FB77A1"/>
    <w:rsid w:val="00FC24B5"/>
    <w:rsid w:val="020B7729"/>
    <w:rsid w:val="032D64CB"/>
    <w:rsid w:val="08E94BE9"/>
    <w:rsid w:val="0A170D7C"/>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纯文本 字符"/>
    <w:basedOn w:val="6"/>
    <w:link w:val="2"/>
    <w:qFormat/>
    <w:uiPriority w:val="99"/>
    <w:rPr>
      <w:rFonts w:ascii="宋体" w:hAnsi="Courier New" w:eastAsia="宋体" w:cs="Times New Roman"/>
      <w:szCs w:val="20"/>
    </w:rPr>
  </w:style>
  <w:style w:type="character" w:customStyle="1" w:styleId="10">
    <w:name w:val="页眉 字符"/>
    <w:basedOn w:val="6"/>
    <w:link w:val="5"/>
    <w:qFormat/>
    <w:uiPriority w:val="99"/>
    <w:rPr>
      <w:sz w:val="18"/>
      <w:szCs w:val="18"/>
    </w:rPr>
  </w:style>
  <w:style w:type="character" w:customStyle="1" w:styleId="11">
    <w:name w:val="页脚 字符"/>
    <w:basedOn w:val="6"/>
    <w:link w:val="4"/>
    <w:qFormat/>
    <w:uiPriority w:val="99"/>
    <w:rPr>
      <w:sz w:val="18"/>
      <w:szCs w:val="18"/>
    </w:rPr>
  </w:style>
  <w:style w:type="character" w:customStyle="1" w:styleId="12">
    <w:name w:val="批注框文本 字符"/>
    <w:basedOn w:val="6"/>
    <w:link w:val="3"/>
    <w:semiHidden/>
    <w:qFormat/>
    <w:uiPriority w:val="99"/>
    <w:rPr>
      <w:sz w:val="18"/>
      <w:szCs w:val="18"/>
    </w:rPr>
  </w:style>
  <w:style w:type="paragraph" w:customStyle="1" w:styleId="13">
    <w:name w:val="无间隔1"/>
    <w:qFormat/>
    <w:uiPriority w:val="1"/>
    <w:pPr>
      <w:widowControl w:val="0"/>
      <w:spacing w:after="160" w:line="259"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19</Pages>
  <Words>1531</Words>
  <Characters>8730</Characters>
  <Lines>72</Lines>
  <Paragraphs>20</Paragraphs>
  <TotalTime>0</TotalTime>
  <ScaleCrop>false</ScaleCrop>
  <LinksUpToDate>false</LinksUpToDate>
  <CharactersWithSpaces>10241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2023-08-14T03:49:00Z</dcterms:created>
  <dc:creator>Windows User</dc:creator>
  <cp:lastModifiedBy>poo</cp:lastModifiedBy>
  <cp:lastPrinted>2020-12-24T15:17:00Z</cp:lastPrinted>
  <dcterms:modified xsi:type="dcterms:W3CDTF">2023-08-21T02:45:50Z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