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639FD">
      <w:pPr>
        <w:spacing w:before="156" w:beforeLines="50" w:after="156" w:afterLines="50"/>
        <w:jc w:val="center"/>
        <w:rPr>
          <w:rFonts w:ascii="黑体" w:hAnsi="黑体" w:eastAsia="黑体"/>
          <w:sz w:val="32"/>
          <w:szCs w:val="32"/>
        </w:rPr>
      </w:pPr>
      <w:r>
        <w:rPr>
          <w:rFonts w:hint="eastAsia" w:ascii="黑体" w:hAnsi="黑体" w:eastAsia="黑体"/>
          <w:sz w:val="32"/>
          <w:szCs w:val="32"/>
        </w:rPr>
        <w:t>《财务大数据》课程教学大纲</w:t>
      </w:r>
    </w:p>
    <w:p w14:paraId="106B6CC4">
      <w:pPr>
        <w:pStyle w:val="2"/>
        <w:spacing w:before="156" w:beforeLines="50" w:after="156" w:afterLines="50"/>
        <w:ind w:firstLine="561" w:firstLineChars="200"/>
        <w:jc w:val="left"/>
        <w:rPr>
          <w:rFonts w:hAnsi="宋体" w:cs="宋体"/>
        </w:rPr>
      </w:pPr>
      <w:r>
        <w:rPr>
          <w:rFonts w:hint="eastAsia" w:ascii="黑体" w:hAnsi="黑体" w:eastAsia="黑体" w:cs="宋体"/>
          <w:b/>
          <w:sz w:val="28"/>
          <w:szCs w:val="28"/>
        </w:rPr>
        <w:t>一、课程基本信息</w:t>
      </w:r>
    </w:p>
    <w:tbl>
      <w:tblPr>
        <w:tblStyle w:val="7"/>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101DEDBA">
        <w:trPr>
          <w:jc w:val="center"/>
        </w:trPr>
        <w:tc>
          <w:tcPr>
            <w:tcW w:w="1135" w:type="dxa"/>
            <w:vAlign w:val="center"/>
          </w:tcPr>
          <w:p w14:paraId="0438441E">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D99ED1D">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Financial Analysis with Big Data</w:t>
            </w:r>
          </w:p>
        </w:tc>
        <w:tc>
          <w:tcPr>
            <w:tcW w:w="1134" w:type="dxa"/>
            <w:vAlign w:val="center"/>
          </w:tcPr>
          <w:p w14:paraId="152A76E9">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19208869">
            <w:pPr>
              <w:spacing w:before="156" w:beforeLines="50" w:after="156" w:afterLines="50"/>
              <w:rPr>
                <w:rFonts w:ascii="宋体" w:hAnsi="宋体" w:eastAsia="宋体"/>
              </w:rPr>
            </w:pPr>
            <w:r>
              <w:rPr>
                <w:rFonts w:hint="eastAsia" w:ascii="宋体" w:hAnsi="宋体" w:eastAsia="宋体"/>
              </w:rPr>
              <w:t>财务大数据ACCO2049</w:t>
            </w:r>
            <w:r>
              <w:rPr>
                <w:rFonts w:hint="eastAsia" w:ascii="宋体" w:hAnsi="宋体" w:eastAsia="宋体"/>
                <w:lang w:eastAsia="zh-CN"/>
              </w:rPr>
              <w:t>；</w:t>
            </w:r>
            <w:bookmarkStart w:id="0" w:name="_GoBack"/>
            <w:bookmarkEnd w:id="0"/>
            <w:r>
              <w:rPr>
                <w:rFonts w:hint="eastAsia" w:ascii="宋体" w:hAnsi="宋体" w:eastAsia="宋体"/>
              </w:rPr>
              <w:t>数据可视化与财务报表分析（财务大数据）ACAI2002</w:t>
            </w:r>
          </w:p>
        </w:tc>
      </w:tr>
      <w:tr w14:paraId="0E3E70C2">
        <w:trPr>
          <w:jc w:val="center"/>
        </w:trPr>
        <w:tc>
          <w:tcPr>
            <w:tcW w:w="1135" w:type="dxa"/>
            <w:vAlign w:val="center"/>
          </w:tcPr>
          <w:p w14:paraId="6735BA48">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3384176">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必修课</w:t>
            </w:r>
          </w:p>
        </w:tc>
        <w:tc>
          <w:tcPr>
            <w:tcW w:w="1134" w:type="dxa"/>
            <w:vAlign w:val="center"/>
          </w:tcPr>
          <w:p w14:paraId="70341585">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92A7E5D">
            <w:pPr>
              <w:spacing w:before="156" w:beforeLines="50" w:after="156" w:afterLines="50"/>
              <w:rPr>
                <w:rFonts w:hint="eastAsia" w:ascii="宋体" w:hAnsi="宋体" w:eastAsia="宋体"/>
                <w:lang w:val="en-US" w:eastAsia="zh-CN"/>
              </w:rPr>
            </w:pPr>
            <w:r>
              <w:rPr>
                <w:rFonts w:hint="eastAsia" w:ascii="宋体" w:hAnsi="宋体" w:eastAsia="宋体"/>
                <w:lang w:val="en-US" w:eastAsia="zh-CN"/>
              </w:rPr>
              <w:t>本科生</w:t>
            </w:r>
          </w:p>
        </w:tc>
      </w:tr>
      <w:tr w14:paraId="38ECBEAD">
        <w:trPr>
          <w:jc w:val="center"/>
        </w:trPr>
        <w:tc>
          <w:tcPr>
            <w:tcW w:w="1135" w:type="dxa"/>
            <w:vAlign w:val="center"/>
          </w:tcPr>
          <w:p w14:paraId="0C78741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040A068D">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2</w:t>
            </w:r>
          </w:p>
        </w:tc>
        <w:tc>
          <w:tcPr>
            <w:tcW w:w="1134" w:type="dxa"/>
            <w:vAlign w:val="center"/>
          </w:tcPr>
          <w:p w14:paraId="0FA9F630">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0656544D">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14:paraId="2700B4CE">
        <w:trPr>
          <w:jc w:val="center"/>
        </w:trPr>
        <w:tc>
          <w:tcPr>
            <w:tcW w:w="1135" w:type="dxa"/>
            <w:vAlign w:val="center"/>
          </w:tcPr>
          <w:p w14:paraId="6D5BCF3B">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62A0936">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陈冬宇</w:t>
            </w:r>
          </w:p>
        </w:tc>
        <w:tc>
          <w:tcPr>
            <w:tcW w:w="1134" w:type="dxa"/>
            <w:vAlign w:val="center"/>
          </w:tcPr>
          <w:p w14:paraId="45B04358">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16146202">
            <w:pPr>
              <w:spacing w:before="156" w:beforeLines="50" w:after="156" w:afterLines="50"/>
              <w:rPr>
                <w:rFonts w:hint="default" w:ascii="宋体" w:hAnsi="宋体" w:eastAsia="宋体"/>
                <w:lang w:val="en-US" w:eastAsia="zh-CN"/>
              </w:rPr>
            </w:pPr>
            <w:r>
              <w:rPr>
                <w:rFonts w:hint="eastAsia" w:ascii="宋体" w:hAnsi="宋体" w:eastAsia="宋体"/>
              </w:rPr>
              <w:t>202</w:t>
            </w:r>
            <w:r>
              <w:rPr>
                <w:rFonts w:hint="eastAsia" w:ascii="宋体" w:hAnsi="宋体" w:eastAsia="宋体"/>
                <w:lang w:val="en-US" w:eastAsia="zh-CN"/>
              </w:rPr>
              <w:t>6.1</w:t>
            </w:r>
          </w:p>
        </w:tc>
      </w:tr>
      <w:tr w14:paraId="2D581699">
        <w:trPr>
          <w:jc w:val="center"/>
        </w:trPr>
        <w:tc>
          <w:tcPr>
            <w:tcW w:w="1135" w:type="dxa"/>
            <w:vAlign w:val="center"/>
          </w:tcPr>
          <w:p w14:paraId="612500A6">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396DAE3">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财务大数据</w:t>
            </w:r>
          </w:p>
        </w:tc>
      </w:tr>
    </w:tbl>
    <w:p w14:paraId="2767C725">
      <w:pPr>
        <w:pStyle w:val="2"/>
        <w:spacing w:before="156" w:beforeLines="50" w:after="156" w:afterLines="50"/>
        <w:ind w:firstLine="561" w:firstLineChars="200"/>
        <w:rPr>
          <w:rFonts w:hAnsi="宋体" w:cs="宋体"/>
        </w:rPr>
      </w:pPr>
      <w:r>
        <w:rPr>
          <w:rFonts w:hint="eastAsia" w:ascii="黑体" w:hAnsi="黑体" w:eastAsia="黑体" w:cs="宋体"/>
          <w:b/>
          <w:sz w:val="28"/>
          <w:szCs w:val="28"/>
        </w:rPr>
        <w:t>二、课程目标</w:t>
      </w:r>
    </w:p>
    <w:p w14:paraId="534FAEEE">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32F6CE28">
      <w:pPr>
        <w:pStyle w:val="2"/>
        <w:spacing w:before="156" w:beforeLines="50" w:after="156" w:afterLines="50"/>
        <w:ind w:firstLine="420" w:firstLineChars="200"/>
        <w:rPr>
          <w:rFonts w:hAnsi="宋体" w:cs="宋体"/>
        </w:rPr>
      </w:pPr>
      <w:r>
        <w:rPr>
          <w:rFonts w:hint="eastAsia" w:hAnsi="宋体" w:cs="宋体"/>
        </w:rPr>
        <w:t>本课程立足于数字经济时代对新型财会人才的转型需求，依托《财务大数据分析》的内容体系，以培养财会专业学生的核心素养为导向，全面整合三维目标。本课程旨在将大数据分析的知识、技能与过程方法转化为数据驱动的财务决策能力，同时将数字时代的商业伦理、情感态度与价值观内化为严谨负责的职业品格。</w:t>
      </w:r>
    </w:p>
    <w:p w14:paraId="414FAB60">
      <w:pPr>
        <w:pStyle w:val="2"/>
        <w:spacing w:before="156" w:beforeLines="50" w:after="156" w:afterLines="50"/>
        <w:ind w:firstLine="480" w:firstLineChars="200"/>
        <w:rPr>
          <w:rFonts w:hint="eastAsia" w:hAnsi="宋体" w:cs="宋体"/>
        </w:rPr>
      </w:pPr>
      <w:r>
        <w:rPr>
          <w:rFonts w:hint="eastAsia" w:ascii="黑体" w:hAnsi="黑体" w:eastAsia="黑体" w:cs="宋体"/>
          <w:sz w:val="24"/>
          <w:szCs w:val="24"/>
        </w:rPr>
        <w:t>（二）课程目标：</w:t>
      </w:r>
    </w:p>
    <w:p w14:paraId="604385C8">
      <w:pPr>
        <w:pStyle w:val="2"/>
        <w:spacing w:before="156" w:beforeLines="50" w:after="156" w:afterLines="50"/>
        <w:ind w:firstLine="420" w:firstLineChars="200"/>
        <w:rPr>
          <w:rFonts w:hint="eastAsia" w:hAnsi="宋体" w:eastAsia="宋体" w:cs="宋体"/>
          <w:sz w:val="21"/>
          <w:szCs w:val="21"/>
          <w:lang w:eastAsia="zh-CN"/>
        </w:rPr>
      </w:pPr>
      <w:r>
        <w:rPr>
          <w:rFonts w:hint="eastAsia" w:hAnsi="宋体" w:cs="宋体"/>
          <w:b/>
          <w:bCs/>
          <w:sz w:val="21"/>
          <w:szCs w:val="21"/>
          <w:lang w:val="en-US" w:eastAsia="zh-CN"/>
        </w:rPr>
        <w:t>课程目标1</w:t>
      </w:r>
      <w:r>
        <w:rPr>
          <w:rFonts w:hint="eastAsia" w:hAnsi="宋体" w:cs="宋体"/>
          <w:sz w:val="21"/>
          <w:szCs w:val="21"/>
          <w:lang w:val="en-US" w:eastAsia="zh-CN"/>
        </w:rPr>
        <w:t>：</w:t>
      </w:r>
      <w:r>
        <w:rPr>
          <w:rFonts w:hint="eastAsia" w:hAnsi="宋体" w:cs="宋体"/>
          <w:sz w:val="21"/>
          <w:szCs w:val="21"/>
        </w:rPr>
        <w:t>掌握财务大数据分析的核心理论与技术框架，构建适应数字经济时代的专业知识体系</w:t>
      </w:r>
      <w:r>
        <w:rPr>
          <w:rFonts w:hint="eastAsia" w:hAnsi="宋体" w:cs="宋体"/>
          <w:sz w:val="21"/>
          <w:szCs w:val="21"/>
          <w:lang w:eastAsia="zh-CN"/>
        </w:rPr>
        <w:t>。</w:t>
      </w:r>
    </w:p>
    <w:p w14:paraId="50350A57">
      <w:pPr>
        <w:pStyle w:val="2"/>
        <w:spacing w:before="156" w:beforeLines="50" w:after="156" w:afterLines="50"/>
        <w:ind w:firstLine="420" w:firstLineChars="200"/>
        <w:rPr>
          <w:rFonts w:hint="eastAsia" w:hAnsi="宋体" w:cs="宋体"/>
          <w:sz w:val="21"/>
          <w:szCs w:val="21"/>
          <w:lang w:val="en-US" w:eastAsia="zh-CN"/>
        </w:rPr>
      </w:pPr>
      <w:r>
        <w:rPr>
          <w:rFonts w:hint="eastAsia" w:hAnsi="宋体" w:cs="宋体"/>
          <w:sz w:val="21"/>
          <w:szCs w:val="21"/>
          <w:lang w:val="en-US" w:eastAsia="zh-CN"/>
        </w:rPr>
        <w:t xml:space="preserve">1．1 熟悉财务大数据的基础概念、应用场景与发展趋势，深刻理解大数据及人工智能技术对传统会计核算、财务管理与审计模式的冲击与重塑。 </w:t>
      </w:r>
    </w:p>
    <w:p w14:paraId="029EEE1D">
      <w:pPr>
        <w:pStyle w:val="2"/>
        <w:spacing w:before="156" w:beforeLines="50" w:after="156" w:afterLines="50"/>
        <w:ind w:firstLine="420" w:firstLineChars="200"/>
        <w:rPr>
          <w:rFonts w:hint="eastAsia" w:hAnsi="宋体" w:cs="宋体"/>
          <w:sz w:val="21"/>
          <w:szCs w:val="21"/>
          <w:lang w:val="en-US" w:eastAsia="zh-CN"/>
        </w:rPr>
      </w:pPr>
      <w:r>
        <w:rPr>
          <w:rFonts w:hint="eastAsia" w:hAnsi="宋体" w:cs="宋体"/>
          <w:sz w:val="21"/>
          <w:szCs w:val="21"/>
          <w:lang w:val="en-US" w:eastAsia="zh-CN"/>
        </w:rPr>
        <w:t>1．2 掌握主流大数据分析工具（如Python等）的基本语法、数据结构及第三方核心库（如Pandas、NumPy、Matplotlib等），理解数据爬取、数据清洗、数据挖掘与数据可视化的底层逻辑与算法原理。</w:t>
      </w:r>
    </w:p>
    <w:p w14:paraId="46647D5F">
      <w:pPr>
        <w:pStyle w:val="2"/>
        <w:spacing w:before="156" w:beforeLines="50" w:after="156" w:afterLines="50"/>
        <w:ind w:firstLine="420" w:firstLineChars="200"/>
        <w:rPr>
          <w:sz w:val="21"/>
          <w:szCs w:val="21"/>
        </w:rPr>
      </w:pPr>
      <w:r>
        <w:rPr>
          <w:rFonts w:hint="eastAsia" w:hAnsi="宋体" w:cs="宋体"/>
          <w:b/>
          <w:sz w:val="21"/>
          <w:szCs w:val="21"/>
        </w:rPr>
        <w:t>课程目标</w:t>
      </w:r>
      <w:r>
        <w:rPr>
          <w:rFonts w:hint="eastAsia" w:hAnsi="宋体" w:cs="宋体"/>
          <w:b/>
          <w:sz w:val="21"/>
          <w:szCs w:val="21"/>
          <w:lang w:val="en-US" w:eastAsia="zh-CN"/>
        </w:rPr>
        <w:t>2</w:t>
      </w:r>
      <w:r>
        <w:rPr>
          <w:rFonts w:hint="eastAsia" w:hAnsi="宋体" w:cs="宋体"/>
          <w:b/>
          <w:sz w:val="21"/>
          <w:szCs w:val="21"/>
        </w:rPr>
        <w:t>：</w:t>
      </w:r>
      <w:r>
        <w:rPr>
          <w:rFonts w:ascii="宋体" w:hAnsi="宋体" w:eastAsia="宋体" w:cs="宋体"/>
          <w:kern w:val="0"/>
          <w:sz w:val="21"/>
          <w:szCs w:val="21"/>
          <w:lang w:val="en-US" w:eastAsia="zh-CN" w:bidi="ar"/>
        </w:rPr>
        <w:t>具备运用大数据技术解决复杂财务与商业问题的实操能力，能够为企业管理决策提供数据支撑</w:t>
      </w:r>
    </w:p>
    <w:p w14:paraId="3F916706">
      <w:pPr>
        <w:pStyle w:val="2"/>
        <w:spacing w:before="156" w:beforeLines="50" w:after="156" w:afterLines="50"/>
        <w:ind w:firstLine="420" w:firstLineChars="200"/>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2．1 能够针对具体的企业财务场景（如财务报表分析、盈利预测、成本管控、风险预警等），熟练进行多源异构数据的获取、</w:t>
      </w:r>
      <w:r>
        <w:rPr>
          <w:rFonts w:hint="eastAsia" w:hAnsi="宋体" w:cs="宋体"/>
          <w:sz w:val="21"/>
          <w:szCs w:val="21"/>
          <w:lang w:val="en-US" w:eastAsia="zh-CN"/>
        </w:rPr>
        <w:t>预处理</w:t>
      </w:r>
      <w:r>
        <w:rPr>
          <w:rFonts w:ascii="宋体" w:hAnsi="宋体" w:eastAsia="宋体" w:cs="宋体"/>
          <w:kern w:val="0"/>
          <w:sz w:val="21"/>
          <w:szCs w:val="21"/>
          <w:lang w:val="en-US" w:eastAsia="zh-CN" w:bidi="ar"/>
        </w:rPr>
        <w:t xml:space="preserve">与特征工程。 </w:t>
      </w:r>
    </w:p>
    <w:p w14:paraId="056BFC76">
      <w:pPr>
        <w:pStyle w:val="2"/>
        <w:spacing w:before="156" w:beforeLines="50" w:after="156" w:afterLines="50"/>
        <w:ind w:firstLine="420" w:firstLineChars="200"/>
        <w:rPr>
          <w:sz w:val="21"/>
          <w:szCs w:val="21"/>
        </w:rPr>
      </w:pPr>
      <w:r>
        <w:rPr>
          <w:rFonts w:ascii="宋体" w:hAnsi="宋体" w:eastAsia="宋体" w:cs="宋体"/>
          <w:kern w:val="0"/>
          <w:sz w:val="21"/>
          <w:szCs w:val="21"/>
          <w:lang w:val="en-US" w:eastAsia="zh-CN" w:bidi="ar"/>
        </w:rPr>
        <w:t xml:space="preserve">2．2 能够独立构建财务大数据分析模型，运用可视化技术直观呈现分析结果，并撰写具有深度的财务数据分析报告，从而有效支撑企业的战略规划与运营决策。 </w:t>
      </w:r>
    </w:p>
    <w:p w14:paraId="2E8D9FC3">
      <w:pPr>
        <w:pStyle w:val="2"/>
        <w:spacing w:before="156" w:beforeLines="50" w:after="156" w:afterLines="50"/>
        <w:ind w:firstLine="420" w:firstLineChars="200"/>
        <w:rPr>
          <w:rFonts w:ascii="宋体" w:hAnsi="宋体" w:eastAsia="宋体" w:cs="宋体"/>
          <w:b w:val="0"/>
          <w:bCs w:val="0"/>
          <w:kern w:val="0"/>
          <w:sz w:val="21"/>
          <w:szCs w:val="21"/>
          <w:lang w:val="en-US" w:eastAsia="zh-CN" w:bidi="ar"/>
        </w:rPr>
      </w:pPr>
      <w:r>
        <w:rPr>
          <w:rFonts w:ascii="宋体" w:hAnsi="宋体" w:eastAsia="宋体" w:cs="宋体"/>
          <w:b/>
          <w:bCs/>
          <w:kern w:val="0"/>
          <w:sz w:val="21"/>
          <w:szCs w:val="21"/>
          <w:lang w:val="en-US" w:eastAsia="zh-CN" w:bidi="ar"/>
        </w:rPr>
        <w:t>课程目标3：</w:t>
      </w:r>
      <w:r>
        <w:rPr>
          <w:rFonts w:ascii="宋体" w:hAnsi="宋体" w:eastAsia="宋体" w:cs="宋体"/>
          <w:b w:val="0"/>
          <w:bCs w:val="0"/>
          <w:kern w:val="0"/>
          <w:sz w:val="21"/>
          <w:szCs w:val="21"/>
          <w:lang w:val="en-US" w:eastAsia="zh-CN" w:bidi="ar"/>
        </w:rPr>
        <w:t>养成严谨求实的科学态度、恪守会计职业道德与数据合规要求，具备团队协作与终身学习的综合品格</w:t>
      </w:r>
    </w:p>
    <w:p w14:paraId="30C42CEA">
      <w:pPr>
        <w:pStyle w:val="2"/>
        <w:spacing w:before="156" w:beforeLines="50" w:after="156" w:afterLines="50"/>
        <w:ind w:firstLine="420" w:firstLineChars="200"/>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 xml:space="preserve">3．1 在数据处理与业务分析的实践过程中，严格遵守国家数据安全相关法律法规与商业伦理，树立高度的数据保密意识、合规意识与会计职业操守。 </w:t>
      </w:r>
    </w:p>
    <w:p w14:paraId="59FDF3A9">
      <w:pPr>
        <w:pStyle w:val="2"/>
        <w:spacing w:before="156" w:beforeLines="50" w:after="156" w:afterLines="50"/>
        <w:ind w:firstLine="420" w:firstLineChars="200"/>
      </w:pPr>
      <w:r>
        <w:rPr>
          <w:rFonts w:ascii="宋体" w:hAnsi="宋体" w:eastAsia="宋体" w:cs="宋体"/>
          <w:kern w:val="0"/>
          <w:sz w:val="21"/>
          <w:szCs w:val="21"/>
          <w:lang w:val="en-US" w:eastAsia="zh-CN" w:bidi="ar"/>
        </w:rPr>
        <w:t>3．2 具备在跨学科团队协作中有效沟通与统筹的能力，并能保持对新一代信息技术的敏锐度，形成持续自我更新、探索未知的终身学习</w:t>
      </w:r>
      <w:r>
        <w:rPr>
          <w:rFonts w:hint="eastAsia" w:hAnsi="宋体" w:cs="宋体"/>
          <w:sz w:val="21"/>
          <w:szCs w:val="21"/>
          <w:lang w:val="en-US" w:eastAsia="zh-CN"/>
        </w:rPr>
        <w:t>习惯</w:t>
      </w:r>
      <w:r>
        <w:rPr>
          <w:rFonts w:ascii="宋体" w:hAnsi="宋体" w:eastAsia="宋体" w:cs="宋体"/>
          <w:kern w:val="0"/>
          <w:sz w:val="21"/>
          <w:szCs w:val="21"/>
          <w:lang w:val="en-US" w:eastAsia="zh-CN" w:bidi="ar"/>
        </w:rPr>
        <w:t>。</w:t>
      </w:r>
    </w:p>
    <w:p w14:paraId="078F834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27AC4CAE">
      <w:pPr>
        <w:pStyle w:val="2"/>
        <w:spacing w:before="156" w:beforeLines="50" w:after="156" w:afterLines="50"/>
        <w:ind w:firstLine="420" w:firstLineChars="200"/>
        <w:jc w:val="center"/>
        <w:rPr>
          <w:rFonts w:hint="eastAsia" w:ascii="黑体" w:hAnsi="宋体" w:eastAsia="宋体"/>
          <w:b/>
          <w:bCs/>
          <w:szCs w:val="21"/>
          <w:lang w:eastAsia="zh-CN"/>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29B98500">
        <w:trPr>
          <w:jc w:val="center"/>
        </w:trPr>
        <w:tc>
          <w:tcPr>
            <w:tcW w:w="1302" w:type="dxa"/>
            <w:vAlign w:val="center"/>
          </w:tcPr>
          <w:p w14:paraId="18067BCA">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4BC7C049">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49288A6F">
            <w:pPr>
              <w:pStyle w:val="2"/>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对应课程内容</w:t>
            </w:r>
          </w:p>
        </w:tc>
        <w:tc>
          <w:tcPr>
            <w:tcW w:w="2688" w:type="dxa"/>
            <w:vAlign w:val="center"/>
          </w:tcPr>
          <w:p w14:paraId="33539CF7">
            <w:pPr>
              <w:pStyle w:val="2"/>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对应毕业要求</w:t>
            </w:r>
          </w:p>
        </w:tc>
      </w:tr>
      <w:tr w14:paraId="120597E1">
        <w:trPr>
          <w:jc w:val="center"/>
        </w:trPr>
        <w:tc>
          <w:tcPr>
            <w:tcW w:w="1302" w:type="dxa"/>
            <w:vMerge w:val="restart"/>
            <w:vAlign w:val="center"/>
          </w:tcPr>
          <w:p w14:paraId="4D301F99">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4A391F2D">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0C6DDF16">
            <w:pPr>
              <w:keepNext w:val="0"/>
              <w:keepLines w:val="0"/>
              <w:widowControl/>
              <w:suppressLineNumbers w:val="0"/>
              <w:jc w:val="left"/>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bidi="ar"/>
              </w:rPr>
              <w:t>财务大数据分析基础与应用场景</w:t>
            </w:r>
          </w:p>
        </w:tc>
        <w:tc>
          <w:tcPr>
            <w:tcW w:w="2688" w:type="dxa"/>
            <w:vAlign w:val="center"/>
          </w:tcPr>
          <w:p w14:paraId="12544759">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sz w:val="21"/>
                <w:szCs w:val="21"/>
                <w:lang w:eastAsia="zh-CN"/>
              </w:rPr>
              <w:tab/>
            </w:r>
            <w:r>
              <w:rPr>
                <w:rFonts w:hint="eastAsia" w:ascii="宋体" w:hAnsi="宋体" w:eastAsia="宋体" w:cs="宋体"/>
                <w:b/>
                <w:bCs/>
                <w:kern w:val="0"/>
                <w:sz w:val="21"/>
                <w:szCs w:val="21"/>
                <w:lang w:val="en-US" w:eastAsia="zh-CN" w:bidi="ar"/>
              </w:rPr>
              <w:t>专业知识。</w:t>
            </w:r>
            <w:r>
              <w:rPr>
                <w:rFonts w:hint="eastAsia" w:ascii="宋体" w:hAnsi="宋体" w:eastAsia="宋体" w:cs="宋体"/>
                <w:kern w:val="0"/>
                <w:sz w:val="21"/>
                <w:szCs w:val="21"/>
                <w:lang w:val="en-US" w:eastAsia="zh-CN" w:bidi="ar"/>
              </w:rPr>
              <w:t xml:space="preserve"> 掌握会计学、财务管理及数据科学的基本理论与方法，熟悉大数据时代财务领域的最新发展动态。</w:t>
            </w:r>
          </w:p>
          <w:p w14:paraId="6E140B62">
            <w:pPr>
              <w:pStyle w:val="2"/>
              <w:tabs>
                <w:tab w:val="left" w:pos="679"/>
              </w:tabs>
              <w:spacing w:before="156" w:beforeLines="50" w:after="156" w:afterLines="50"/>
              <w:jc w:val="left"/>
              <w:rPr>
                <w:rFonts w:hint="eastAsia" w:ascii="宋体" w:hAnsi="宋体" w:eastAsia="宋体" w:cs="宋体"/>
                <w:sz w:val="21"/>
                <w:szCs w:val="21"/>
                <w:lang w:eastAsia="zh-CN"/>
              </w:rPr>
            </w:pPr>
          </w:p>
        </w:tc>
      </w:tr>
      <w:tr w14:paraId="5366EFB6">
        <w:trPr>
          <w:jc w:val="center"/>
        </w:trPr>
        <w:tc>
          <w:tcPr>
            <w:tcW w:w="1302" w:type="dxa"/>
            <w:vMerge w:val="continue"/>
            <w:vAlign w:val="center"/>
          </w:tcPr>
          <w:p w14:paraId="7BA04E27">
            <w:pPr>
              <w:pStyle w:val="2"/>
              <w:spacing w:before="156" w:beforeLines="50" w:after="156" w:afterLines="50"/>
              <w:jc w:val="center"/>
              <w:rPr>
                <w:rFonts w:hAnsi="宋体" w:cs="宋体"/>
                <w:szCs w:val="21"/>
              </w:rPr>
            </w:pPr>
          </w:p>
        </w:tc>
        <w:tc>
          <w:tcPr>
            <w:tcW w:w="1959" w:type="dxa"/>
            <w:vAlign w:val="center"/>
          </w:tcPr>
          <w:p w14:paraId="4FE32FF1">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43D2891F">
            <w:pPr>
              <w:pStyle w:val="6"/>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Python基础及财务数据采集</w:t>
            </w:r>
            <w:r>
              <w:rPr>
                <w:rFonts w:hint="eastAsia" w:ascii="宋体" w:hAnsi="宋体" w:eastAsia="宋体" w:cs="宋体"/>
                <w:sz w:val="21"/>
                <w:szCs w:val="21"/>
                <w:lang w:eastAsia="zh-CN"/>
              </w:rPr>
              <w:t>；</w:t>
            </w:r>
            <w:r>
              <w:rPr>
                <w:rFonts w:hint="eastAsia" w:ascii="宋体" w:hAnsi="宋体" w:eastAsia="宋体" w:cs="宋体"/>
                <w:kern w:val="0"/>
                <w:sz w:val="21"/>
                <w:szCs w:val="21"/>
                <w:lang w:val="en-US" w:eastAsia="zh-CN" w:bidi="ar"/>
              </w:rPr>
              <w:t>财务数据的清洗与预处理</w:t>
            </w:r>
          </w:p>
          <w:p w14:paraId="59B32177">
            <w:pPr>
              <w:pStyle w:val="2"/>
              <w:spacing w:before="156" w:beforeLines="50" w:after="156" w:afterLines="50"/>
              <w:jc w:val="center"/>
              <w:rPr>
                <w:rFonts w:hint="eastAsia" w:ascii="宋体" w:hAnsi="宋体" w:eastAsia="宋体" w:cs="宋体"/>
                <w:sz w:val="21"/>
                <w:szCs w:val="21"/>
              </w:rPr>
            </w:pPr>
          </w:p>
        </w:tc>
        <w:tc>
          <w:tcPr>
            <w:tcW w:w="2688" w:type="dxa"/>
            <w:vAlign w:val="center"/>
          </w:tcPr>
          <w:p w14:paraId="3DA6F4F0">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b/>
                <w:bCs/>
                <w:kern w:val="0"/>
                <w:sz w:val="21"/>
                <w:szCs w:val="21"/>
                <w:lang w:val="en-US" w:eastAsia="zh-CN" w:bidi="ar"/>
              </w:rPr>
              <w:t>技术工具应用。</w:t>
            </w:r>
            <w:r>
              <w:rPr>
                <w:rFonts w:hint="eastAsia" w:ascii="宋体" w:hAnsi="宋体" w:eastAsia="宋体" w:cs="宋体"/>
                <w:kern w:val="0"/>
                <w:sz w:val="21"/>
                <w:szCs w:val="21"/>
                <w:lang w:val="en-US" w:eastAsia="zh-CN" w:bidi="ar"/>
              </w:rPr>
              <w:t xml:space="preserve"> 熟练使用主流数据分析工具及编程语言，具备现代信息技术与财务业务融合的数据处理基础能力。</w:t>
            </w:r>
          </w:p>
          <w:p w14:paraId="4817C82B">
            <w:pPr>
              <w:pStyle w:val="2"/>
              <w:spacing w:before="156" w:beforeLines="50" w:after="156" w:afterLines="50"/>
              <w:jc w:val="center"/>
              <w:rPr>
                <w:rFonts w:hint="eastAsia" w:ascii="宋体" w:hAnsi="宋体" w:eastAsia="宋体" w:cs="宋体"/>
                <w:sz w:val="21"/>
                <w:szCs w:val="21"/>
              </w:rPr>
            </w:pPr>
          </w:p>
        </w:tc>
      </w:tr>
      <w:tr w14:paraId="7AB0EFFF">
        <w:trPr>
          <w:jc w:val="center"/>
        </w:trPr>
        <w:tc>
          <w:tcPr>
            <w:tcW w:w="1302" w:type="dxa"/>
            <w:vMerge w:val="restart"/>
            <w:vAlign w:val="center"/>
          </w:tcPr>
          <w:p w14:paraId="2F070E02">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3CB123FD">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B67D27C">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sz w:val="21"/>
                <w:szCs w:val="21"/>
                <w:lang w:eastAsia="zh-CN"/>
              </w:rPr>
              <w:tab/>
            </w:r>
            <w:r>
              <w:rPr>
                <w:rFonts w:hint="eastAsia" w:ascii="宋体" w:hAnsi="宋体" w:eastAsia="宋体" w:cs="宋体"/>
                <w:kern w:val="0"/>
                <w:sz w:val="21"/>
                <w:szCs w:val="21"/>
                <w:lang w:val="en-US" w:eastAsia="zh-CN" w:bidi="ar"/>
              </w:rPr>
              <w:t>财务数据可视化与探索性分析；业务-财务一体化数据建模</w:t>
            </w:r>
          </w:p>
          <w:p w14:paraId="72BE82C4">
            <w:pPr>
              <w:pStyle w:val="2"/>
              <w:tabs>
                <w:tab w:val="left" w:pos="435"/>
              </w:tabs>
              <w:spacing w:before="156" w:beforeLines="50" w:after="156" w:afterLines="50"/>
              <w:jc w:val="left"/>
              <w:rPr>
                <w:rFonts w:hint="eastAsia" w:ascii="宋体" w:hAnsi="宋体" w:eastAsia="宋体" w:cs="宋体"/>
                <w:sz w:val="21"/>
                <w:szCs w:val="21"/>
                <w:lang w:eastAsia="zh-CN"/>
              </w:rPr>
            </w:pPr>
          </w:p>
        </w:tc>
        <w:tc>
          <w:tcPr>
            <w:tcW w:w="2688" w:type="dxa"/>
            <w:vAlign w:val="center"/>
          </w:tcPr>
          <w:p w14:paraId="675AFD6A">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kern w:val="0"/>
                <w:sz w:val="21"/>
                <w:szCs w:val="21"/>
                <w:lang w:val="en-US" w:eastAsia="zh-CN" w:bidi="ar"/>
              </w:rPr>
              <w:t>创新与解决问题能力。</w:t>
            </w:r>
          </w:p>
          <w:p w14:paraId="00544232">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kern w:val="0"/>
                <w:sz w:val="21"/>
                <w:szCs w:val="21"/>
                <w:lang w:val="en-US" w:eastAsia="zh-CN" w:bidi="ar"/>
              </w:rPr>
              <w:t>能够将复杂多源的商业数据与企业财务场景相结合，运用适当的统计与挖掘方法进行数据分析。</w:t>
            </w:r>
          </w:p>
          <w:p w14:paraId="11AB7B96">
            <w:pPr>
              <w:pStyle w:val="2"/>
              <w:spacing w:before="156" w:beforeLines="50" w:after="156" w:afterLines="50"/>
              <w:jc w:val="center"/>
              <w:rPr>
                <w:rFonts w:hint="eastAsia" w:ascii="宋体" w:hAnsi="宋体" w:eastAsia="宋体" w:cs="宋体"/>
                <w:sz w:val="21"/>
                <w:szCs w:val="21"/>
              </w:rPr>
            </w:pPr>
          </w:p>
        </w:tc>
      </w:tr>
      <w:tr w14:paraId="41AB72E0">
        <w:trPr>
          <w:jc w:val="center"/>
        </w:trPr>
        <w:tc>
          <w:tcPr>
            <w:tcW w:w="1302" w:type="dxa"/>
            <w:vMerge w:val="continue"/>
            <w:vAlign w:val="center"/>
          </w:tcPr>
          <w:p w14:paraId="70F406EA">
            <w:pPr>
              <w:pStyle w:val="2"/>
              <w:spacing w:before="156" w:beforeLines="50" w:after="156" w:afterLines="50"/>
              <w:jc w:val="center"/>
              <w:rPr>
                <w:rFonts w:hAnsi="宋体" w:cs="宋体"/>
                <w:szCs w:val="21"/>
              </w:rPr>
            </w:pPr>
          </w:p>
        </w:tc>
        <w:tc>
          <w:tcPr>
            <w:tcW w:w="1959" w:type="dxa"/>
            <w:vAlign w:val="center"/>
          </w:tcPr>
          <w:p w14:paraId="5CBA33D2">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3D74C5B0">
            <w:pPr>
              <w:pStyle w:val="6"/>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财务预测、预警与决策支持</w:t>
            </w:r>
          </w:p>
          <w:p w14:paraId="6E62E005">
            <w:pPr>
              <w:pStyle w:val="2"/>
              <w:spacing w:before="156" w:beforeLines="50" w:after="156" w:afterLines="50"/>
              <w:jc w:val="center"/>
              <w:rPr>
                <w:rFonts w:hint="eastAsia" w:ascii="宋体" w:hAnsi="宋体" w:eastAsia="宋体" w:cs="宋体"/>
                <w:b/>
                <w:bCs/>
                <w:sz w:val="21"/>
                <w:szCs w:val="21"/>
              </w:rPr>
            </w:pPr>
          </w:p>
        </w:tc>
        <w:tc>
          <w:tcPr>
            <w:tcW w:w="2688" w:type="dxa"/>
            <w:vAlign w:val="center"/>
          </w:tcPr>
          <w:p w14:paraId="51D8452A">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b/>
                <w:bCs/>
                <w:kern w:val="0"/>
                <w:sz w:val="21"/>
                <w:szCs w:val="21"/>
                <w:lang w:val="en-US" w:eastAsia="zh-CN" w:bidi="ar"/>
              </w:rPr>
              <w:t>创新与解决问题能力。</w:t>
            </w:r>
            <w:r>
              <w:rPr>
                <w:rFonts w:hint="eastAsia" w:ascii="宋体" w:hAnsi="宋体" w:eastAsia="宋体" w:cs="宋体"/>
                <w:kern w:val="0"/>
                <w:sz w:val="21"/>
                <w:szCs w:val="21"/>
                <w:lang w:val="en-US" w:eastAsia="zh-CN" w:bidi="ar"/>
              </w:rPr>
              <w:t xml:space="preserve"> 具备运用大数据思维和量化模型解决企业复杂财务管理问题的能力，能够提供有价值的数据洞察与决策建议。</w:t>
            </w:r>
          </w:p>
          <w:p w14:paraId="62390CC3">
            <w:pPr>
              <w:pStyle w:val="2"/>
              <w:spacing w:before="156" w:beforeLines="50" w:after="156" w:afterLines="50"/>
              <w:jc w:val="center"/>
              <w:rPr>
                <w:rFonts w:hint="eastAsia" w:ascii="宋体" w:hAnsi="宋体" w:eastAsia="宋体" w:cs="宋体"/>
                <w:sz w:val="21"/>
                <w:szCs w:val="21"/>
              </w:rPr>
            </w:pPr>
          </w:p>
        </w:tc>
      </w:tr>
      <w:tr w14:paraId="4CFBD6DA">
        <w:trPr>
          <w:jc w:val="center"/>
        </w:trPr>
        <w:tc>
          <w:tcPr>
            <w:tcW w:w="1302" w:type="dxa"/>
            <w:vMerge w:val="restart"/>
            <w:vAlign w:val="center"/>
          </w:tcPr>
          <w:p w14:paraId="794CF669">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0F5E135F">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2.1</w:t>
            </w:r>
          </w:p>
        </w:tc>
        <w:tc>
          <w:tcPr>
            <w:tcW w:w="3118" w:type="dxa"/>
            <w:vAlign w:val="center"/>
          </w:tcPr>
          <w:p w14:paraId="51D9BE3C">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kern w:val="0"/>
                <w:sz w:val="21"/>
                <w:szCs w:val="21"/>
                <w:lang w:val="en-US" w:eastAsia="zh-CN" w:bidi="ar"/>
              </w:rPr>
              <w:t>贯穿全课程的案例研讨</w:t>
            </w:r>
          </w:p>
          <w:p w14:paraId="2719E05B">
            <w:pPr>
              <w:pStyle w:val="2"/>
              <w:spacing w:before="156" w:beforeLines="50" w:after="156" w:afterLines="50"/>
              <w:jc w:val="center"/>
              <w:rPr>
                <w:rFonts w:hint="eastAsia" w:ascii="宋体" w:hAnsi="宋体" w:eastAsia="宋体" w:cs="宋体"/>
                <w:b/>
                <w:bCs/>
                <w:sz w:val="21"/>
                <w:szCs w:val="21"/>
              </w:rPr>
            </w:pPr>
          </w:p>
        </w:tc>
        <w:tc>
          <w:tcPr>
            <w:tcW w:w="2688" w:type="dxa"/>
            <w:vAlign w:val="center"/>
          </w:tcPr>
          <w:p w14:paraId="670733B1">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b/>
                <w:bCs/>
                <w:kern w:val="0"/>
                <w:sz w:val="21"/>
                <w:szCs w:val="21"/>
                <w:lang w:val="en-US" w:eastAsia="zh-CN" w:bidi="ar"/>
              </w:rPr>
              <w:t>职业道德与规范。</w:t>
            </w:r>
            <w:r>
              <w:rPr>
                <w:rFonts w:hint="eastAsia" w:ascii="宋体" w:hAnsi="宋体" w:eastAsia="宋体" w:cs="宋体"/>
                <w:kern w:val="0"/>
                <w:sz w:val="21"/>
                <w:szCs w:val="21"/>
                <w:lang w:val="en-US" w:eastAsia="zh-CN" w:bidi="ar"/>
              </w:rPr>
              <w:t xml:space="preserve"> 具有强烈的社会责任感，恪守会计职业道德，在数据获取与分析应用中严格遵守国家法律法规及数据保密要求。</w:t>
            </w:r>
          </w:p>
          <w:p w14:paraId="26C0C96B">
            <w:pPr>
              <w:pStyle w:val="2"/>
              <w:spacing w:before="156" w:beforeLines="50" w:after="156" w:afterLines="50"/>
              <w:jc w:val="center"/>
              <w:rPr>
                <w:rFonts w:hint="eastAsia" w:ascii="宋体" w:hAnsi="宋体" w:eastAsia="宋体" w:cs="宋体"/>
                <w:sz w:val="21"/>
                <w:szCs w:val="21"/>
              </w:rPr>
            </w:pPr>
          </w:p>
        </w:tc>
      </w:tr>
      <w:tr w14:paraId="328E528C">
        <w:trPr>
          <w:jc w:val="center"/>
        </w:trPr>
        <w:tc>
          <w:tcPr>
            <w:tcW w:w="1302" w:type="dxa"/>
            <w:vMerge w:val="continue"/>
            <w:vAlign w:val="center"/>
          </w:tcPr>
          <w:p w14:paraId="746E3FE2">
            <w:pPr>
              <w:pStyle w:val="2"/>
              <w:spacing w:before="156" w:beforeLines="50" w:after="156" w:afterLines="50"/>
              <w:jc w:val="center"/>
              <w:rPr>
                <w:rFonts w:hAnsi="宋体" w:cs="宋体"/>
                <w:szCs w:val="21"/>
              </w:rPr>
            </w:pPr>
          </w:p>
        </w:tc>
        <w:tc>
          <w:tcPr>
            <w:tcW w:w="1959" w:type="dxa"/>
            <w:vAlign w:val="center"/>
          </w:tcPr>
          <w:p w14:paraId="4495C760">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2.2</w:t>
            </w:r>
          </w:p>
        </w:tc>
        <w:tc>
          <w:tcPr>
            <w:tcW w:w="3118" w:type="dxa"/>
            <w:vAlign w:val="center"/>
          </w:tcPr>
          <w:p w14:paraId="79FD14CC">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kern w:val="0"/>
                <w:sz w:val="21"/>
                <w:szCs w:val="21"/>
                <w:lang w:val="en-US" w:eastAsia="zh-CN" w:bidi="ar"/>
              </w:rPr>
              <w:t>综合项目实操（分组协作）、成果汇报与答辩</w:t>
            </w:r>
          </w:p>
          <w:p w14:paraId="410E7488">
            <w:pPr>
              <w:pStyle w:val="2"/>
              <w:spacing w:before="156" w:beforeLines="50" w:after="156" w:afterLines="50"/>
              <w:jc w:val="center"/>
              <w:rPr>
                <w:rFonts w:hint="eastAsia" w:ascii="宋体" w:hAnsi="宋体" w:eastAsia="宋体" w:cs="宋体"/>
                <w:b/>
                <w:bCs/>
                <w:sz w:val="21"/>
                <w:szCs w:val="21"/>
              </w:rPr>
            </w:pPr>
          </w:p>
        </w:tc>
        <w:tc>
          <w:tcPr>
            <w:tcW w:w="2688" w:type="dxa"/>
            <w:vAlign w:val="center"/>
          </w:tcPr>
          <w:p w14:paraId="12B0A080">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b/>
                <w:bCs/>
                <w:kern w:val="0"/>
                <w:sz w:val="21"/>
                <w:szCs w:val="21"/>
                <w:lang w:val="en-US" w:eastAsia="zh-CN" w:bidi="ar"/>
              </w:rPr>
              <w:t>团队协作与终身学习。</w:t>
            </w:r>
            <w:r>
              <w:rPr>
                <w:rFonts w:hint="eastAsia" w:ascii="宋体" w:hAnsi="宋体" w:eastAsia="宋体" w:cs="宋体"/>
                <w:kern w:val="0"/>
                <w:sz w:val="21"/>
                <w:szCs w:val="21"/>
                <w:lang w:val="en-US" w:eastAsia="zh-CN" w:bidi="ar"/>
              </w:rPr>
              <w:t xml:space="preserve"> 具备在跨学科或多元化团队中沟通协作的能力，能够跟踪新一代信息技术的发展，保持持续学习和自我更新的习惯。</w:t>
            </w:r>
          </w:p>
          <w:p w14:paraId="62996A42">
            <w:pPr>
              <w:pStyle w:val="2"/>
              <w:spacing w:before="156" w:beforeLines="50" w:after="156" w:afterLines="50"/>
              <w:jc w:val="center"/>
              <w:rPr>
                <w:rFonts w:hint="eastAsia" w:ascii="宋体" w:hAnsi="宋体" w:eastAsia="宋体" w:cs="宋体"/>
                <w:sz w:val="21"/>
                <w:szCs w:val="21"/>
              </w:rPr>
            </w:pPr>
          </w:p>
        </w:tc>
      </w:tr>
    </w:tbl>
    <w:p w14:paraId="6F545DA2">
      <w:pPr>
        <w:spacing w:before="156" w:beforeLines="50" w:after="156" w:afterLines="50"/>
        <w:ind w:firstLine="561" w:firstLineChars="200"/>
        <w:rPr>
          <w:rFonts w:ascii="黑体" w:hAnsi="黑体" w:eastAsia="黑体"/>
          <w:b/>
          <w:sz w:val="28"/>
          <w:szCs w:val="28"/>
        </w:rPr>
      </w:pPr>
      <w:r>
        <w:rPr>
          <w:rFonts w:hint="eastAsia" w:ascii="黑体" w:hAnsi="黑体" w:eastAsia="黑体"/>
          <w:b/>
          <w:sz w:val="28"/>
          <w:szCs w:val="28"/>
        </w:rPr>
        <w:t>三、教学内容</w:t>
      </w:r>
    </w:p>
    <w:p w14:paraId="12991560">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72822DF5">
      <w:pPr>
        <w:pStyle w:val="6"/>
        <w:keepNext w:val="0"/>
        <w:keepLines w:val="0"/>
        <w:widowControl/>
        <w:suppressLineNumbers w:val="0"/>
        <w:spacing w:before="0" w:beforeAutospacing="0" w:line="23" w:lineRule="atLeast"/>
        <w:ind w:left="437" w:leftChars="200" w:hanging="17" w:hangingChars="7"/>
        <w:rPr>
          <w:rFonts w:hint="default" w:ascii="sans-serif" w:hAnsi="sans-serif" w:eastAsia="sans-serif" w:cs="sans-serif"/>
        </w:rPr>
      </w:pPr>
      <w:r>
        <w:rPr>
          <w:rFonts w:hint="default" w:ascii="sans-serif" w:hAnsi="sans-serif" w:eastAsia="sans-serif" w:cs="sans-serif"/>
          <w:b/>
          <w:bCs/>
        </w:rPr>
        <w:t>第一章 认识大数据</w:t>
      </w:r>
      <w:r>
        <w:rPr>
          <w:rFonts w:hint="default" w:ascii="sans-serif" w:hAnsi="sans-serif" w:eastAsia="sans-serif" w:cs="sans-serif"/>
        </w:rPr>
        <w:t xml:space="preserve"> </w:t>
      </w:r>
    </w:p>
    <w:p w14:paraId="7622CBCA">
      <w:pPr>
        <w:pStyle w:val="6"/>
        <w:keepNext w:val="0"/>
        <w:keepLines w:val="0"/>
        <w:widowControl/>
        <w:suppressLineNumbers w:val="0"/>
        <w:spacing w:before="0" w:beforeAutospacing="0" w:line="23" w:lineRule="atLeast"/>
        <w:ind w:left="435" w:leftChars="200" w:hanging="15" w:hangingChars="7"/>
        <w:rPr>
          <w:rFonts w:hint="eastAsia" w:ascii="宋体" w:hAnsi="宋体" w:eastAsia="宋体" w:cs="宋体"/>
          <w:sz w:val="21"/>
          <w:szCs w:val="21"/>
          <w:lang w:eastAsia="zh-CN"/>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（1）知识与技能（提炼为能力）：掌握大数据的概念、种类及“4V”特征（数据量大、数据类型多样、价值密度低、实时性高）</w:t>
      </w:r>
      <w:r>
        <w:rPr>
          <w:rFonts w:hint="eastAsia" w:ascii="宋体" w:hAnsi="宋体" w:eastAsia="宋体" w:cs="宋体"/>
          <w:sz w:val="21"/>
          <w:szCs w:val="21"/>
          <w:lang w:eastAsia="zh-CN"/>
        </w:rPr>
        <w:t>；</w:t>
      </w:r>
      <w:r>
        <w:rPr>
          <w:rFonts w:hint="eastAsia" w:ascii="宋体" w:hAnsi="宋体" w:eastAsia="宋体" w:cs="宋体"/>
          <w:sz w:val="21"/>
          <w:szCs w:val="21"/>
        </w:rPr>
        <w:t>熟悉大数据在电商、金融、交通等行业，以及在业绩分析、成本控制、合规与风险管理等财务领域的具体应用场景</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（2）过程与方法（提炼为能力）：通过案例研讨，深刻理解狭义财务大数据与广义财务大数据的区别</w:t>
      </w:r>
      <w:r>
        <w:rPr>
          <w:rFonts w:hint="eastAsia" w:ascii="宋体" w:hAnsi="宋体" w:eastAsia="宋体" w:cs="宋体"/>
          <w:sz w:val="21"/>
          <w:szCs w:val="21"/>
          <w:lang w:eastAsia="zh-CN"/>
        </w:rPr>
        <w:t>，</w:t>
      </w:r>
      <w:r>
        <w:rPr>
          <w:rFonts w:hint="eastAsia" w:ascii="宋体" w:hAnsi="宋体" w:eastAsia="宋体" w:cs="宋体"/>
          <w:sz w:val="21"/>
          <w:szCs w:val="21"/>
        </w:rPr>
        <w:t>能够跳出传统核算视角，建立以业务驱动和业财融合为导向的数据分析思维</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（3）情感态度与价值观（提炼为品格）：在了解大数据前沿应用的过程中，激发学生对新技术的探索热情，培养从企业高层全局视野审视业务与财务数据的决策责任意识</w:t>
      </w:r>
      <w:r>
        <w:rPr>
          <w:rFonts w:hint="eastAsia" w:ascii="宋体" w:hAnsi="宋体" w:eastAsia="宋体" w:cs="宋体"/>
          <w:sz w:val="21"/>
          <w:szCs w:val="21"/>
          <w:lang w:eastAsia="zh-CN"/>
        </w:rPr>
        <w:t>。</w:t>
      </w:r>
    </w:p>
    <w:p w14:paraId="64C12C60">
      <w:pPr>
        <w:pStyle w:val="6"/>
        <w:keepNext w:val="0"/>
        <w:keepLines w:val="0"/>
        <w:widowControl/>
        <w:suppressLineNumbers w:val="0"/>
        <w:spacing w:before="0" w:beforeAutospacing="0" w:line="23" w:lineRule="atLeast"/>
        <w:ind w:left="435" w:leftChars="200" w:hanging="15" w:hangingChars="7"/>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（1）重点：大数据的基本特征</w:t>
      </w:r>
      <w:r>
        <w:rPr>
          <w:rFonts w:hint="eastAsia" w:ascii="宋体" w:hAnsi="宋体" w:eastAsia="宋体" w:cs="宋体"/>
          <w:sz w:val="21"/>
          <w:szCs w:val="21"/>
          <w:lang w:eastAsia="zh-CN"/>
        </w:rPr>
        <w:t>；</w:t>
      </w:r>
      <w:r>
        <w:rPr>
          <w:rFonts w:hint="eastAsia" w:ascii="宋体" w:hAnsi="宋体" w:eastAsia="宋体" w:cs="宋体"/>
          <w:sz w:val="21"/>
          <w:szCs w:val="21"/>
        </w:rPr>
        <w:t>广义财务大数据的核心理念及其在企业价值创造中的应用场景</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（2）难点：理解半结构化/非结构化数据向结构化数据转化的逻辑</w:t>
      </w:r>
      <w:r>
        <w:rPr>
          <w:rFonts w:hint="eastAsia" w:ascii="宋体" w:hAnsi="宋体" w:eastAsia="宋体" w:cs="宋体"/>
          <w:sz w:val="21"/>
          <w:szCs w:val="21"/>
          <w:lang w:eastAsia="zh-CN"/>
        </w:rPr>
        <w:t>，</w:t>
      </w:r>
      <w:r>
        <w:rPr>
          <w:rFonts w:hint="eastAsia" w:ascii="宋体" w:hAnsi="宋体" w:eastAsia="宋体" w:cs="宋体"/>
          <w:sz w:val="21"/>
          <w:szCs w:val="21"/>
        </w:rPr>
        <w:t>以及如何运用业财融合思维从动态业务中捕捉财务数据价值</w:t>
      </w:r>
      <w:r>
        <w:rPr>
          <w:rFonts w:hint="eastAsia" w:ascii="宋体" w:hAnsi="宋体" w:eastAsia="宋体" w:cs="宋体"/>
          <w:sz w:val="21"/>
          <w:szCs w:val="21"/>
          <w:lang w:eastAsia="zh-CN"/>
        </w:rPr>
        <w:t>。</w:t>
      </w:r>
    </w:p>
    <w:p w14:paraId="78F3AB11">
      <w:pPr>
        <w:pStyle w:val="6"/>
        <w:keepNext w:val="0"/>
        <w:keepLines w:val="0"/>
        <w:widowControl/>
        <w:suppressLineNumbers w:val="0"/>
        <w:spacing w:before="0" w:beforeAutospacing="0" w:line="23" w:lineRule="atLeast"/>
        <w:ind w:left="435" w:leftChars="200" w:hanging="15" w:hangingChars="7"/>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1.1 大数据的基本概念（概念、种类、基本特征） 1.2 大数据在各行各业的应用（电商、金融、交通行业应用） 1.3 大数据在财务领域的应用（狭义与广义的财务大数据区分，以及在业绩、成本、资金、风控等方面的应用） </w:t>
      </w:r>
    </w:p>
    <w:p w14:paraId="79BDB376">
      <w:pPr>
        <w:pStyle w:val="6"/>
        <w:keepNext w:val="0"/>
        <w:keepLines w:val="0"/>
        <w:widowControl/>
        <w:suppressLineNumbers w:val="0"/>
        <w:spacing w:before="0" w:beforeAutospacing="0" w:line="23" w:lineRule="atLeast"/>
        <w:ind w:left="435" w:leftChars="200" w:hanging="15" w:hangingChars="7"/>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讲授法与案例教学法。结合教材提供的电商精确定位、金融精准营销及金蝶云系统界面的实际业务截图等案例，引导学生进行讨论。</w:t>
      </w:r>
    </w:p>
    <w:p w14:paraId="15BF21E7">
      <w:pPr>
        <w:pStyle w:val="6"/>
        <w:keepNext w:val="0"/>
        <w:keepLines w:val="0"/>
        <w:widowControl/>
        <w:suppressLineNumbers w:val="0"/>
        <w:spacing w:before="0" w:beforeAutospacing="0" w:line="23" w:lineRule="atLeast"/>
        <w:ind w:left="435" w:leftChars="200" w:hanging="15" w:hangingChars="7"/>
        <w:rPr>
          <w:rFonts w:hint="eastAsia" w:ascii="宋体" w:hAnsi="宋体" w:eastAsia="宋体" w:cs="宋体"/>
          <w:sz w:val="21"/>
          <w:szCs w:val="21"/>
          <w:lang w:eastAsia="zh-CN"/>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（1）过程性评价：课堂互动与案例讨论参与度（占比30%）。 （2）结果性评价：课后思考题的完成质量（占比70%）</w:t>
      </w:r>
      <w:r>
        <w:rPr>
          <w:rFonts w:hint="eastAsia" w:ascii="宋体" w:hAnsi="宋体" w:eastAsia="宋体" w:cs="宋体"/>
          <w:sz w:val="21"/>
          <w:szCs w:val="21"/>
          <w:lang w:eastAsia="zh-CN"/>
        </w:rPr>
        <w:t>。</w:t>
      </w:r>
    </w:p>
    <w:p w14:paraId="2D9C69EF">
      <w:pPr>
        <w:pStyle w:val="6"/>
        <w:keepNext w:val="0"/>
        <w:keepLines w:val="0"/>
        <w:widowControl/>
        <w:suppressLineNumbers w:val="0"/>
        <w:spacing w:before="0" w:beforeAutospacing="0" w:line="23" w:lineRule="atLeast"/>
        <w:ind w:left="437" w:leftChars="200" w:hanging="17" w:hangingChars="7"/>
        <w:jc w:val="left"/>
        <w:rPr>
          <w:rFonts w:hint="default" w:ascii="sans-serif" w:hAnsi="sans-serif" w:eastAsia="sans-serif" w:cs="sans-serif"/>
          <w:b/>
          <w:bCs/>
        </w:rPr>
      </w:pPr>
      <w:r>
        <w:rPr>
          <w:rFonts w:hint="default" w:ascii="sans-serif" w:hAnsi="sans-serif" w:eastAsia="sans-serif" w:cs="sans-serif"/>
          <w:b/>
          <w:bCs/>
        </w:rPr>
        <w:t xml:space="preserve">第二章 大数据分析方法与工具 </w:t>
      </w:r>
    </w:p>
    <w:p w14:paraId="55B4F953">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（1）知识与技能（提炼为能力）：理解大数据分析的目标、思路与标准流程</w:t>
      </w:r>
      <w:r>
        <w:rPr>
          <w:rFonts w:hint="eastAsia" w:ascii="宋体" w:hAnsi="宋体" w:eastAsia="宋体" w:cs="宋体"/>
          <w:sz w:val="21"/>
          <w:szCs w:val="21"/>
          <w:lang w:eastAsia="zh-CN"/>
        </w:rPr>
        <w:t>；</w:t>
      </w:r>
      <w:r>
        <w:rPr>
          <w:rFonts w:hint="eastAsia" w:ascii="宋体" w:hAnsi="宋体" w:eastAsia="宋体" w:cs="宋体"/>
          <w:sz w:val="21"/>
          <w:szCs w:val="21"/>
        </w:rPr>
        <w:t>熟悉金蝶轻分析平台与金蝶大数据平台的功能特性</w:t>
      </w:r>
      <w:r>
        <w:rPr>
          <w:rFonts w:hint="eastAsia" w:ascii="宋体" w:hAnsi="宋体" w:eastAsia="宋体" w:cs="宋体"/>
          <w:sz w:val="21"/>
          <w:szCs w:val="21"/>
          <w:lang w:eastAsia="zh-CN"/>
        </w:rPr>
        <w:t>；</w:t>
      </w:r>
      <w:r>
        <w:rPr>
          <w:rFonts w:hint="eastAsia" w:ascii="宋体" w:hAnsi="宋体" w:eastAsia="宋体" w:cs="宋体"/>
          <w:sz w:val="21"/>
          <w:szCs w:val="21"/>
        </w:rPr>
        <w:t>掌握MySQL数据库的基础概念及核心查询语句的编写规则</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（2）过程与方法（提炼为能力）：通过对平台和数据库工具的操作演示与上机演练，使学生具备针对特定业务需求选择合适工具，并运用MySQL进行基础数据提取与查询分析的能力。 （3）情感态度与价值观（提炼为品格）：在编写代码与工具实操中，培养学生严谨细致、不怕纠错的探索精神，以及遵循规范进行数据操作的职业习惯。</w:t>
      </w:r>
    </w:p>
    <w:p w14:paraId="636DFBCC">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（1）重点：大数据分析的完整流程</w:t>
      </w:r>
      <w:r>
        <w:rPr>
          <w:rFonts w:hint="eastAsia" w:ascii="宋体" w:hAnsi="宋体" w:eastAsia="宋体" w:cs="宋体"/>
          <w:sz w:val="21"/>
          <w:szCs w:val="21"/>
          <w:lang w:eastAsia="zh-CN"/>
        </w:rPr>
        <w:t>；</w:t>
      </w:r>
      <w:r>
        <w:rPr>
          <w:rFonts w:hint="eastAsia" w:ascii="宋体" w:hAnsi="宋体" w:eastAsia="宋体" w:cs="宋体"/>
          <w:sz w:val="21"/>
          <w:szCs w:val="21"/>
        </w:rPr>
        <w:t>MySQL核心查询语句的编写与应用</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（2）难点：基于复杂的业务场景设计正确的数据分析思路；在MySQL环境下的多表关联查询操作。</w:t>
      </w:r>
    </w:p>
    <w:p w14:paraId="32D58C81">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2.1 大数据分析方法（分析的目标、思路及流程） 2.2 大数据分析工具（金蝶轻分析平台、金蝶大数据平台） 2.3 MySQL查询统计（MySQL基本概念、查询语句的编写规范与实操） </w:t>
      </w:r>
    </w:p>
    <w:p w14:paraId="2ACF521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b/>
          <w:bCs/>
          <w:sz w:val="21"/>
          <w:szCs w:val="21"/>
          <w:lang w:val="en-US" w:eastAsia="zh-CN"/>
        </w:rPr>
        <w:t xml:space="preserve"> </w:t>
      </w:r>
      <w:r>
        <w:rPr>
          <w:rFonts w:hint="eastAsia" w:ascii="宋体" w:hAnsi="宋体" w:eastAsia="宋体" w:cs="宋体"/>
          <w:sz w:val="21"/>
          <w:szCs w:val="21"/>
        </w:rPr>
        <w:t>讲授法、多媒体演示法与任务驱动（上机实操）法。教师演示金蝶平台与MySQL的使用，学生在实验环境中完成查询任务。</w:t>
      </w:r>
    </w:p>
    <w:p w14:paraId="34F6A976">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（1）过程性评价：上机操作规范性及解决报错的能力（占比40%）。（2）结果性评价：课后MySQL上机作业及查询代码的准确度（占比60%）。</w:t>
      </w:r>
    </w:p>
    <w:p w14:paraId="3879E5BA">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第三章 企业环境分析</w:t>
      </w:r>
    </w:p>
    <w:p w14:paraId="6903A9F4">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（1）知识与技能（提炼为能力）：掌握行业分析、企业SWOT分析以及企业经营战略分析的大数据分析框架体系。 （2）过程与方法（提炼为能力）：通过对宏观经济数据、行业公开数据及企业内部数据的综合比对，培养学生从高层视角洞察外部环境威胁与机遇、评估企业核心竞争力的战略决策支持能力</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（3）情感态度与价值观（提炼为品格）：在宏观环境与战略分析中，培养学生具备全局观、大局意识以及敏锐的市场嗅觉，树立服务于企业长期可持续发展的战略眼光。</w:t>
      </w:r>
    </w:p>
    <w:p w14:paraId="1F636026">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（1）重点：企业SWOT分析在大数据环境下的量化呈现。 （2）难点：如何有效获取外部行业数据并与内部财务数据进行对标，以支撑企业经营战略分析。</w:t>
      </w:r>
    </w:p>
    <w:p w14:paraId="0A0E0BB6">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3.1 行业分析 3.2 企业SWOT分析 3.3 企业经营战略分析 </w:t>
      </w:r>
    </w:p>
    <w:p w14:paraId="7FF35991">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案例教学法与讨论法。引入特定行业（如新零售行业）的真实数据集</w:t>
      </w:r>
      <w:r>
        <w:rPr>
          <w:rFonts w:hint="eastAsia" w:ascii="宋体" w:hAnsi="宋体" w:eastAsia="宋体" w:cs="宋体"/>
          <w:sz w:val="21"/>
          <w:szCs w:val="21"/>
          <w:lang w:eastAsia="zh-CN"/>
        </w:rPr>
        <w:t>，</w:t>
      </w:r>
      <w:r>
        <w:rPr>
          <w:rFonts w:hint="eastAsia" w:ascii="宋体" w:hAnsi="宋体" w:eastAsia="宋体" w:cs="宋体"/>
          <w:sz w:val="21"/>
          <w:szCs w:val="21"/>
        </w:rPr>
        <w:t>组织学生分组探讨其面临的市场环境并进行量化战略评估。</w:t>
      </w:r>
    </w:p>
    <w:p w14:paraId="7666BBD6">
      <w:pPr>
        <w:pStyle w:val="6"/>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420" w:leftChars="200" w:firstLine="0" w:firstLineChars="0"/>
        <w:textAlignment w:val="auto"/>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（1）过程性评价：小组案例讨论的参与度与逻辑严密性（占比40%）。</w:t>
      </w:r>
    </w:p>
    <w:p w14:paraId="1E5CC364">
      <w:pPr>
        <w:pStyle w:val="6"/>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420" w:leftChars="20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（2）结果性评价：提交一份指定上市公司的简版大数据环境与战略分析报告（占比60%）。</w:t>
      </w:r>
    </w:p>
    <w:p w14:paraId="1CA0680B">
      <w:pPr>
        <w:pStyle w:val="6"/>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420" w:leftChars="200" w:firstLine="0" w:firstLineChars="0"/>
        <w:jc w:val="left"/>
        <w:textAlignment w:val="auto"/>
        <w:rPr>
          <w:rFonts w:hint="eastAsia" w:ascii="宋体" w:hAnsi="宋体" w:eastAsia="宋体" w:cs="宋体"/>
          <w:sz w:val="21"/>
          <w:szCs w:val="21"/>
        </w:rPr>
      </w:pPr>
    </w:p>
    <w:p w14:paraId="39BE0FF6">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第四章 销售主题分析</w:t>
      </w:r>
    </w:p>
    <w:p w14:paraId="272CF4C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（1）知识与技能（提炼为能力）：掌握产品分析、客户分析、销售渠道及配送分析的指标体系</w:t>
      </w:r>
      <w:r>
        <w:rPr>
          <w:rFonts w:hint="eastAsia" w:ascii="宋体" w:hAnsi="宋体" w:eastAsia="宋体" w:cs="宋体"/>
          <w:sz w:val="21"/>
          <w:szCs w:val="21"/>
          <w:lang w:eastAsia="zh-CN"/>
        </w:rPr>
        <w:t>；</w:t>
      </w:r>
      <w:r>
        <w:rPr>
          <w:rFonts w:hint="eastAsia" w:ascii="宋体" w:hAnsi="宋体" w:eastAsia="宋体" w:cs="宋体"/>
          <w:sz w:val="21"/>
          <w:szCs w:val="21"/>
        </w:rPr>
        <w:t>熟练应用线性回归算法进行广告投放决策，以及运用RFM模型进行消费者价值分析。 （2）过程与方法（提炼为能力）：通过构建销售业务流的数据分析模型，使学生具备利用大数据精准定位目标客户、优化销售渠道与营销费用的实操能力</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（3）情感态度与价值观（提炼为品格）：在营销数据挖掘中，树立尊重消费者隐私、坚守商业伦理与诚信经营的正确价值观。</w:t>
      </w:r>
    </w:p>
    <w:p w14:paraId="5BC09EA3">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（1）重点：消费者RFM模型的构建原理与分析应用</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（2）难点：基于线性回归的广告投放决策模型的代码实现与参数调优</w:t>
      </w:r>
      <w:r>
        <w:rPr>
          <w:rFonts w:hint="eastAsia" w:ascii="宋体" w:hAnsi="宋体" w:eastAsia="宋体" w:cs="宋体"/>
          <w:sz w:val="21"/>
          <w:szCs w:val="21"/>
          <w:lang w:eastAsia="zh-CN"/>
        </w:rPr>
        <w:t>。</w:t>
      </w:r>
    </w:p>
    <w:p w14:paraId="7D4783D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4.1 产品分析 4.2 客户分析 4.3 销售渠道分析 4.4 销售配送分析 4.5 基于线性回归的广告投放决策 4.6 消费者RFM分析 </w:t>
      </w:r>
    </w:p>
    <w:p w14:paraId="78BB82F7">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讲授法与任务驱动法（上机实操）。结合具体销售数据集，带领学生一步步运用模型工具（如Python或金蝶轻分析）完成线性回归与RFM模型的搭建</w:t>
      </w:r>
      <w:r>
        <w:rPr>
          <w:rFonts w:hint="eastAsia" w:ascii="宋体" w:hAnsi="宋体" w:eastAsia="宋体" w:cs="宋体"/>
          <w:sz w:val="21"/>
          <w:szCs w:val="21"/>
          <w:lang w:eastAsia="zh-CN"/>
        </w:rPr>
        <w:t>。</w:t>
      </w:r>
    </w:p>
    <w:p w14:paraId="7FEFFAB2">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（1）过程性评价：上机操作的熟练度与代码调试能力（占比50%）。（2）结果性评价：基于给定数据集的销售主题数据可视化看板及分析结论（占比50%）。</w:t>
      </w:r>
    </w:p>
    <w:p w14:paraId="6FA90B09">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第五章 采购主题分析</w:t>
      </w:r>
    </w:p>
    <w:p w14:paraId="75BBCEEA">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（1）知识与技能（提炼为能力）：掌握采购成本分析与执行绩效分析方法</w:t>
      </w:r>
      <w:r>
        <w:rPr>
          <w:rFonts w:hint="eastAsia" w:ascii="宋体" w:hAnsi="宋体" w:eastAsia="宋体" w:cs="宋体"/>
          <w:sz w:val="21"/>
          <w:szCs w:val="21"/>
          <w:lang w:eastAsia="zh-CN"/>
        </w:rPr>
        <w:t>；</w:t>
      </w:r>
      <w:r>
        <w:rPr>
          <w:rFonts w:hint="eastAsia" w:ascii="宋体" w:hAnsi="宋体" w:eastAsia="宋体" w:cs="宋体"/>
          <w:sz w:val="21"/>
          <w:szCs w:val="21"/>
        </w:rPr>
        <w:t>理解并运用K-means聚类算法进行供应商分类，掌握基于社交网络分析的招标风险识别技术</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（2）过程与方法（提炼为能力）：通过供应商数据聚类与关系图谱的建立，培养学生从海量采购数据中识别供应链瓶颈与潜在舞弊风险的能力。 （3）情感态度与价值观（提炼为品格）：深刻理解采购环节中内部控制与合规的重要性，塑造廉洁自律、客观公正的财务职业操守。</w:t>
      </w:r>
    </w:p>
    <w:p w14:paraId="72979F9A">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（1）重点：采购成本与绩效的多维指标拆解</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（2）难点：K-means聚类算法在供应商分类中的实际运用；社交网络分析模型在招标防舞弊中的落地</w:t>
      </w:r>
      <w:r>
        <w:rPr>
          <w:rFonts w:hint="eastAsia" w:ascii="宋体" w:hAnsi="宋体" w:eastAsia="宋体" w:cs="宋体"/>
          <w:sz w:val="21"/>
          <w:szCs w:val="21"/>
          <w:lang w:eastAsia="zh-CN"/>
        </w:rPr>
        <w:t>。</w:t>
      </w:r>
    </w:p>
    <w:p w14:paraId="7841051B">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5.1 采购成本分析 5.2 采购执行绩效分析 5.3 基于K-means聚类算法的供应商分类分析 5.4 基于社交网络分析招标风险 </w:t>
      </w:r>
    </w:p>
    <w:p w14:paraId="5409B1DF">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讲授法与上机实操结合。重点演示K-means算法逻辑与社交网络图谱的生成过程，引导学生进行模型演练。</w:t>
      </w:r>
    </w:p>
    <w:p w14:paraId="29A1619F">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（1）结果性评价：完成供应商K-means聚类分析实验报告，并对分类结果提出相应的采购管理策略（占比100%）。</w:t>
      </w:r>
    </w:p>
    <w:p w14:paraId="56B9EE99">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第六章 存货主题分析</w:t>
      </w:r>
    </w:p>
    <w:p w14:paraId="540FCFB6">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（1）知识与技能（提炼为能力）：掌握存货总体状况、存货结构与库龄分析方法；能够运用大数据模型进行存货减值与报损评估，以及仓库选址优化分析</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（2）过程与方法（提炼为能力）：通过数据分析打通采购、入库、出库的业务闭环，提升学生在保证企业连续生产和资金周转前提下优化库存成本的业务解析能力</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（3）情感态度与价值观（提炼为品格）：培养对资产管理精益求精的态度，以及严防资产流失的成本管控意识。</w:t>
      </w:r>
    </w:p>
    <w:p w14:paraId="408966B2">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（1）重点：存货结构与库龄的动态大数据分析</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（2）难点：结合外部地理与物流数据进行仓库选址的大数据建模分析</w:t>
      </w:r>
      <w:r>
        <w:rPr>
          <w:rFonts w:hint="eastAsia" w:ascii="宋体" w:hAnsi="宋体" w:eastAsia="宋体" w:cs="宋体"/>
          <w:sz w:val="21"/>
          <w:szCs w:val="21"/>
          <w:lang w:eastAsia="zh-CN"/>
        </w:rPr>
        <w:t>。</w:t>
      </w:r>
    </w:p>
    <w:p w14:paraId="1FC61349">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6.1 存货管理总体分析 6.2 存货结构与库龄分析 6.3 存货减值与报损分析 6.4 仓库选址分析 </w:t>
      </w:r>
    </w:p>
    <w:p w14:paraId="635D5FB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讲授法与案例分析。结合实务中的高库存积压案例，演示数据预警机制。</w:t>
      </w:r>
    </w:p>
    <w:p w14:paraId="1F4A9B7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（1）过程性评价：课堂提问与互动表现（占比30%）。（2）结果性评价：课后计算并分析给定数据集的库龄与减值计提作业（占比70%）。</w:t>
      </w:r>
    </w:p>
    <w:p w14:paraId="2E07427E">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 xml:space="preserve">第七章 生产主题分析 </w:t>
      </w:r>
    </w:p>
    <w:p w14:paraId="69674FC8">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（1）知识与技能（提炼为能力）：掌握生产成本、生产质量及生产交付的全面数据分析框架；学会利用支持向量机（SVM）算法解决特定的生产预测问题（如烘烤时间预测）</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（2）过程与方法（提炼为能力）：通过对制造企业生产车间数据的建模分析，使学生具备透过财务数据表象，深挖生产良率、能耗等底层业务驱动因素的能力。 （3）情感态度与价值观（提炼为品格）：树立业财高度融合的先进理念，培养对实体经济制造环节“降本增效”的价值创造精神与工匠精神。</w:t>
      </w:r>
    </w:p>
    <w:p w14:paraId="70981A6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（1）重点：生产成本与质量数据的关联分析</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（2）难点：支持向量机（SVM）等机器学习算法在实际生产环节预测中的调参及应用</w:t>
      </w:r>
      <w:r>
        <w:rPr>
          <w:rFonts w:hint="eastAsia" w:ascii="宋体" w:hAnsi="宋体" w:eastAsia="宋体" w:cs="宋体"/>
          <w:sz w:val="21"/>
          <w:szCs w:val="21"/>
          <w:lang w:eastAsia="zh-CN"/>
        </w:rPr>
        <w:t>。</w:t>
      </w:r>
    </w:p>
    <w:p w14:paraId="148DCAC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7.1 生产成本分析 7.2 生产质量分析 7.3 生产交付分析 7.4 基于支持向量机的烘烤时间预测 </w:t>
      </w:r>
    </w:p>
    <w:p w14:paraId="09AB3948">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理论讲授与上机实验。剖析制造企业的生产流水线数据</w:t>
      </w:r>
      <w:r>
        <w:rPr>
          <w:rFonts w:hint="eastAsia" w:ascii="宋体" w:hAnsi="宋体" w:eastAsia="宋体" w:cs="宋体"/>
          <w:sz w:val="21"/>
          <w:szCs w:val="21"/>
          <w:lang w:eastAsia="zh-CN"/>
        </w:rPr>
        <w:t>，</w:t>
      </w:r>
      <w:r>
        <w:rPr>
          <w:rFonts w:hint="eastAsia" w:ascii="宋体" w:hAnsi="宋体" w:eastAsia="宋体" w:cs="宋体"/>
          <w:sz w:val="21"/>
          <w:szCs w:val="21"/>
        </w:rPr>
        <w:t>指导学生上机运行SVM预测模型。</w:t>
      </w:r>
    </w:p>
    <w:p w14:paraId="2AA0B34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（1）结果性评价：上机实验成果考察，要求学生提交包含模型预测准确率验证的实训代码及报告（占比100%</w:t>
      </w:r>
      <w:r>
        <w:rPr>
          <w:rFonts w:hint="eastAsia" w:ascii="宋体" w:hAnsi="宋体" w:eastAsia="宋体" w:cs="宋体"/>
          <w:sz w:val="21"/>
          <w:szCs w:val="21"/>
          <w:lang w:eastAsia="zh-CN"/>
        </w:rPr>
        <w:t>）</w:t>
      </w:r>
      <w:r>
        <w:rPr>
          <w:rFonts w:hint="eastAsia" w:ascii="宋体" w:hAnsi="宋体" w:eastAsia="宋体" w:cs="宋体"/>
          <w:sz w:val="21"/>
          <w:szCs w:val="21"/>
        </w:rPr>
        <w:t>。</w:t>
      </w:r>
    </w:p>
    <w:p w14:paraId="005041E9">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 xml:space="preserve">第八章 财务报表分析 </w:t>
      </w:r>
    </w:p>
    <w:p w14:paraId="4C609803">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（1）知识与技能（提炼为能力）：掌握资产负债表、利润表及现金流量表在大数据环境下的分析框架，熟练运用可视化工具进行多期财报数据的结构分析与比较分析</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（2）过程与方法（提炼为能力）：通过对海量真实上市公司财报数据的清洗、建模与可视化呈现，提升从宏观数据中快速透视企业资产负债结构、盈利质量与现金获取能力的数据化财务洞察力</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（3）情感态度与价值观（提炼为品格）：在处理和剖析财报数据的过程中，培养严谨客观的专业精神，坚守财务数据真实性的原则底线。</w:t>
      </w:r>
    </w:p>
    <w:p w14:paraId="2D1D68F1">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lang w:eastAsia="zh-CN"/>
        </w:rPr>
      </w:pPr>
      <w:r>
        <w:rPr>
          <w:rFonts w:hint="eastAsia" w:ascii="宋体" w:hAnsi="宋体" w:eastAsia="宋体" w:cs="宋体"/>
          <w:b/>
          <w:bCs/>
          <w:sz w:val="21"/>
          <w:szCs w:val="21"/>
        </w:rPr>
        <w:t>2.教学重难点</w:t>
      </w:r>
      <w:r>
        <w:rPr>
          <w:rFonts w:hint="eastAsia" w:ascii="宋体" w:hAnsi="宋体" w:eastAsia="宋体" w:cs="宋体"/>
          <w:sz w:val="21"/>
          <w:szCs w:val="21"/>
        </w:rPr>
        <w:t>（1）重点：资产负债表与利润表的多维动态比较分析及可视化看板构建</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（2）难点：多期海量现金流量数据的提取逻辑及异常资金流动的特征识别</w:t>
      </w:r>
      <w:r>
        <w:rPr>
          <w:rFonts w:hint="eastAsia" w:ascii="宋体" w:hAnsi="宋体" w:eastAsia="宋体" w:cs="宋体"/>
          <w:sz w:val="21"/>
          <w:szCs w:val="21"/>
          <w:lang w:eastAsia="zh-CN"/>
        </w:rPr>
        <w:t>。</w:t>
      </w:r>
    </w:p>
    <w:p w14:paraId="3710E56C">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8.1 资产负债表分析（结构分析、比较分析） 8.2 利润表分析（收入分析、成本费用分析、利润分析） 8.3 现金流量表分析（结构分析、获取现金能力的分析） </w:t>
      </w:r>
    </w:p>
    <w:p w14:paraId="4357C0CF">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讲授法与案例分析法。以上市公司真实财报公开数据为例，引导学生在VS Code或相应的数据分析平台上进行代码编写与可视化图表生成。</w:t>
      </w:r>
    </w:p>
    <w:p w14:paraId="7EB9563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（1）结果性评价：上交基于指定上市公司的财务报表交互式可视化大屏或数据分析脚本，并附简明分析结论（占比100%）。</w:t>
      </w:r>
    </w:p>
    <w:p w14:paraId="404D4FBE">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 xml:space="preserve">第九章 财务效率分析 </w:t>
      </w:r>
    </w:p>
    <w:p w14:paraId="4C30669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（1）知识与技能（提炼为能力）：掌握构建企业偿债能力、营运能力、盈利能力及发展能力的大数据指标体系</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（2）过程与方法（提炼为能力）：通过运用网络爬虫与接口调用获取同行业海量对标数据，熟练建立行业横向对比与纵向历史趋势相结合的综合评价模型，提升解决复杂商业评价问题的能力。 （3）情感态度与价值观（提炼为品格）：在效率指标的剖析中，引导学生树立追求卓越、注重企业长期价值创造与可持续发展的商业经营理念。</w:t>
      </w:r>
    </w:p>
    <w:p w14:paraId="7DFAE1A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（1）重点：四大核心财务能力指标的量化计算与多维展现</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（2）难点：跨企业、跨时间维度的海量行业对标数据集的匹配与标准化处理。</w:t>
      </w:r>
    </w:p>
    <w:p w14:paraId="4824A971">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9.1 偿债能力分析（短期与长期偿债能力分析） 9.2 营运能力分析 9.3 盈利能力分析 9.4 发展能力分析 </w:t>
      </w:r>
    </w:p>
    <w:p w14:paraId="7B776D27">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讲授法与任务驱动法。下发包含多家同行业企业的原始财务数据集，要求学生编写代码或配置平台功能完成批量计算与横向对标排名。</w:t>
      </w:r>
    </w:p>
    <w:p w14:paraId="54F20648">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（1）过程性评价：数据处理过程中的逻辑严密性（占比40%）。（2）结果性评价：提交一份指定行业的财务效率综合对标与评价报告（占比60%）。</w:t>
      </w:r>
    </w:p>
    <w:p w14:paraId="74EAD550">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 xml:space="preserve">第十章 财务预测分析 </w:t>
      </w:r>
    </w:p>
    <w:p w14:paraId="55979BA8">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（1）知识与技能（提炼为能力）：掌握时间序列分析等预测算法，能够将其应用于销售额预测、采购需求预测及资金预测分析中</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（2）过程与方法（提炼为能力）：通过对历史经营数据的拟合与预测模型训练，掌握对企业未来业务趋势的研判能力以及前瞻性的资金规划筹措能力。 （3）情感态度与价值观（提炼为品格）：培养前瞻性思维、防患于未然的风险意识，以及面对复杂市场环境时的数据自信与决策担当。</w:t>
      </w:r>
    </w:p>
    <w:p w14:paraId="3FE6188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（1）重点：销售额与资金流的动态大数据预测模型构建</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（2）难点：预测算法（如ARIMA模型、Prophet等）中关键参数的设定、调试与模型准确度检验。</w:t>
      </w:r>
    </w:p>
    <w:p w14:paraId="1B3084F2">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10.1 销售额预测分析 10.2 采购需求预测 10.3 资金预测分析 </w:t>
      </w:r>
    </w:p>
    <w:p w14:paraId="72B2E96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上机实验为主，讲授为辅。结合电商平台或制造企业的历史订单与资金流水数据，指导学生上机运行预测算法，并对比不同参数下的预测效果。</w:t>
      </w:r>
    </w:p>
    <w:p w14:paraId="79E40F9C">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（1）结果性评价：上机模型验收，重点评估模型预测结果的准确率（MAPE等指标）及预测报告的业务指导意义（占比100%）。</w:t>
      </w:r>
    </w:p>
    <w:p w14:paraId="3EA2DFCA">
      <w:pPr>
        <w:pStyle w:val="6"/>
        <w:keepNext w:val="0"/>
        <w:keepLines w:val="0"/>
        <w:widowControl/>
        <w:suppressLineNumbers w:val="0"/>
        <w:spacing w:before="0" w:beforeAutospacing="0" w:line="23" w:lineRule="atLeast"/>
        <w:ind w:left="437" w:leftChars="200" w:hanging="17" w:hangingChars="7"/>
        <w:jc w:val="left"/>
        <w:rPr>
          <w:rFonts w:hint="eastAsia" w:ascii="sans-serif" w:hAnsi="sans-serif" w:eastAsia="sans-serif" w:cs="sans-serif"/>
          <w:b/>
          <w:bCs/>
        </w:rPr>
      </w:pPr>
      <w:r>
        <w:rPr>
          <w:rFonts w:hint="eastAsia" w:ascii="sans-serif" w:hAnsi="sans-serif" w:eastAsia="sans-serif" w:cs="sans-serif"/>
          <w:b/>
          <w:bCs/>
        </w:rPr>
        <w:t xml:space="preserve">第十一章 企业风险分析 </w:t>
      </w:r>
    </w:p>
    <w:p w14:paraId="5983FC8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1.教学目标</w:t>
      </w:r>
      <w:r>
        <w:rPr>
          <w:rFonts w:hint="eastAsia" w:ascii="宋体" w:hAnsi="宋体" w:eastAsia="宋体" w:cs="宋体"/>
          <w:sz w:val="21"/>
          <w:szCs w:val="21"/>
        </w:rPr>
        <w:t xml:space="preserve">  （1）知识与技能（提炼为能力）：掌握客户信用评估、财务舞弊识别及财务困境预警的大数据特征工程与常见分类预警算法（如Logistic回归、决策树等）</w:t>
      </w:r>
      <w:r>
        <w:rPr>
          <w:rFonts w:hint="eastAsia" w:ascii="宋体" w:hAnsi="宋体" w:eastAsia="宋体" w:cs="宋体"/>
          <w:sz w:val="21"/>
          <w:szCs w:val="21"/>
          <w:lang w:eastAsia="zh-CN"/>
        </w:rPr>
        <w:t>。</w:t>
      </w:r>
      <w:r>
        <w:rPr>
          <w:rFonts w:hint="eastAsia" w:ascii="宋体" w:hAnsi="宋体" w:eastAsia="宋体" w:cs="宋体"/>
          <w:sz w:val="21"/>
          <w:szCs w:val="21"/>
        </w:rPr>
        <w:t xml:space="preserve"> （2）过程与方法（提炼为能力）：完整体验“风险特征提取-预警模型训练-风险等级输出”的数据风控全流程，大幅提升在复杂、模糊商业环境下的财务风险实战排雷能力</w:t>
      </w:r>
      <w:r>
        <w:rPr>
          <w:rFonts w:hint="eastAsia" w:ascii="宋体" w:hAnsi="宋体" w:eastAsia="宋体" w:cs="宋体"/>
          <w:sz w:val="21"/>
          <w:szCs w:val="21"/>
          <w:lang w:eastAsia="zh-CN"/>
        </w:rPr>
        <w:t>。</w:t>
      </w:r>
      <w:r>
        <w:rPr>
          <w:rFonts w:hint="eastAsia" w:ascii="宋体" w:hAnsi="宋体" w:eastAsia="宋体" w:cs="宋体"/>
          <w:sz w:val="21"/>
          <w:szCs w:val="21"/>
        </w:rPr>
        <w:t xml:space="preserve"> （3）情感态度与价值观（提炼为品格）：深刻认识财务舞弊对资本市场的破坏力，坚定维护市场秩序、坚守会计人员社会责任与诚信底线的职业操守。</w:t>
      </w:r>
    </w:p>
    <w:p w14:paraId="7D930958">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2.教学重难点</w:t>
      </w:r>
      <w:r>
        <w:rPr>
          <w:rFonts w:hint="eastAsia" w:ascii="宋体" w:hAnsi="宋体" w:eastAsia="宋体" w:cs="宋体"/>
          <w:sz w:val="21"/>
          <w:szCs w:val="21"/>
        </w:rPr>
        <w:t xml:space="preserve">  （1）重点：财务舞弊与困境预警特征指标（X变量）的科学选取与量化</w:t>
      </w:r>
      <w:r>
        <w:rPr>
          <w:rFonts w:hint="eastAsia" w:ascii="宋体" w:hAnsi="宋体" w:eastAsia="宋体" w:cs="宋体"/>
          <w:sz w:val="21"/>
          <w:szCs w:val="21"/>
          <w:lang w:eastAsia="zh-CN"/>
        </w:rPr>
        <w:t>。</w:t>
      </w:r>
      <w:r>
        <w:rPr>
          <w:rFonts w:hint="eastAsia" w:ascii="宋体" w:hAnsi="宋体" w:eastAsia="宋体" w:cs="宋体"/>
          <w:sz w:val="21"/>
          <w:szCs w:val="21"/>
        </w:rPr>
        <w:t xml:space="preserve"> （2）难点：机器学习预警模型的构建、训练数据集划分与过拟合防范。</w:t>
      </w:r>
    </w:p>
    <w:p w14:paraId="3610E340">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3.教学内容</w:t>
      </w:r>
      <w:r>
        <w:rPr>
          <w:rFonts w:hint="eastAsia" w:ascii="宋体" w:hAnsi="宋体" w:eastAsia="宋体" w:cs="宋体"/>
          <w:sz w:val="21"/>
          <w:szCs w:val="21"/>
        </w:rPr>
        <w:t xml:space="preserve">  11.1 客户信用风险分析 11.2 财务舞弊风险分析 11.3 财务困境预警分析 </w:t>
      </w:r>
    </w:p>
    <w:p w14:paraId="1E5E5D7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4.教学方法</w:t>
      </w:r>
      <w:r>
        <w:rPr>
          <w:rFonts w:hint="eastAsia" w:ascii="宋体" w:hAnsi="宋体" w:eastAsia="宋体" w:cs="宋体"/>
          <w:sz w:val="21"/>
          <w:szCs w:val="21"/>
        </w:rPr>
        <w:t xml:space="preserve"> 综合项目案例法。引入资本市场真实的因财务造假退市或ST（特别处理）的公司数据为负样本，正常公司为正样本，组织学生分组进行反向侦查与预警建模模拟。</w:t>
      </w:r>
    </w:p>
    <w:p w14:paraId="2B48EAAE">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r>
        <w:rPr>
          <w:rFonts w:hint="eastAsia" w:ascii="宋体" w:hAnsi="宋体" w:eastAsia="宋体" w:cs="宋体"/>
          <w:b/>
          <w:bCs/>
          <w:sz w:val="21"/>
          <w:szCs w:val="21"/>
        </w:rPr>
        <w:t>5.教学评价</w:t>
      </w:r>
      <w:r>
        <w:rPr>
          <w:rFonts w:hint="eastAsia" w:ascii="宋体" w:hAnsi="宋体" w:eastAsia="宋体" w:cs="宋体"/>
          <w:sz w:val="21"/>
          <w:szCs w:val="21"/>
        </w:rPr>
        <w:t xml:space="preserve"> （1）过程性评价：小组分工协作的效率与防舞弊特征选取视角的创新性（占比30%）。（2）结果性评价：期末综合大作业——完成指定行业上市公司的财务风险预警诊断项目，并进行成果汇报与答辩（占比70%）。</w:t>
      </w:r>
    </w:p>
    <w:p w14:paraId="5D0107AD">
      <w:pPr>
        <w:pStyle w:val="6"/>
        <w:keepNext w:val="0"/>
        <w:keepLines w:val="0"/>
        <w:widowControl/>
        <w:suppressLineNumbers w:val="0"/>
        <w:spacing w:before="0" w:beforeAutospacing="0" w:line="23" w:lineRule="atLeast"/>
        <w:ind w:left="420" w:leftChars="200" w:firstLine="0" w:firstLineChars="0"/>
        <w:rPr>
          <w:rFonts w:hint="eastAsia" w:ascii="宋体" w:hAnsi="宋体" w:eastAsia="宋体" w:cs="宋体"/>
          <w:sz w:val="21"/>
          <w:szCs w:val="21"/>
        </w:rPr>
      </w:pPr>
    </w:p>
    <w:p w14:paraId="1332B647">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8ED72F6">
      <w:pPr>
        <w:widowControl/>
        <w:spacing w:before="156" w:beforeLines="50" w:after="156" w:afterLines="50"/>
        <w:ind w:firstLine="561"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48604EEA">
      <w:pPr>
        <w:widowControl/>
        <w:spacing w:before="156" w:beforeLines="50" w:after="156" w:afterLines="50"/>
        <w:jc w:val="center"/>
        <w:rPr>
          <w:rFonts w:hint="eastAsia" w:ascii="黑体" w:hAnsi="黑体" w:eastAsia="宋体"/>
          <w:b/>
          <w:sz w:val="24"/>
          <w:szCs w:val="24"/>
          <w:lang w:eastAsia="zh-CN"/>
        </w:rPr>
      </w:pPr>
      <w:r>
        <w:rPr>
          <w:rFonts w:hint="eastAsia" w:ascii="宋体" w:hAnsi="宋体" w:eastAsia="宋体"/>
          <w:b/>
          <w:szCs w:val="21"/>
        </w:rPr>
        <w:t>表2：各章节的具体内容和学时分配表</w:t>
      </w:r>
    </w:p>
    <w:tbl>
      <w:tblPr>
        <w:tblStyle w:val="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6BD93D41">
        <w:trPr>
          <w:trHeight w:val="340" w:hRule="atLeast"/>
          <w:jc w:val="center"/>
        </w:trPr>
        <w:tc>
          <w:tcPr>
            <w:tcW w:w="2765" w:type="dxa"/>
            <w:vAlign w:val="center"/>
          </w:tcPr>
          <w:p w14:paraId="31C0311D">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3528F1AA">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7ECBCF36">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523BA6A6">
        <w:trPr>
          <w:trHeight w:val="340" w:hRule="atLeast"/>
          <w:jc w:val="center"/>
        </w:trPr>
        <w:tc>
          <w:tcPr>
            <w:tcW w:w="2765" w:type="dxa"/>
            <w:vAlign w:val="center"/>
          </w:tcPr>
          <w:p w14:paraId="080FE386">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bottom"/>
          </w:tcPr>
          <w:p w14:paraId="6498375C">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认识大数据（大数据的基本概念、各行业应用、财务领域应用）</w:t>
            </w:r>
          </w:p>
        </w:tc>
        <w:tc>
          <w:tcPr>
            <w:tcW w:w="2766" w:type="dxa"/>
            <w:vAlign w:val="center"/>
          </w:tcPr>
          <w:p w14:paraId="3E90C0A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15BA316">
        <w:trPr>
          <w:trHeight w:val="340" w:hRule="atLeast"/>
          <w:jc w:val="center"/>
        </w:trPr>
        <w:tc>
          <w:tcPr>
            <w:tcW w:w="2765" w:type="dxa"/>
            <w:vAlign w:val="center"/>
          </w:tcPr>
          <w:p w14:paraId="5575224B">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bottom"/>
          </w:tcPr>
          <w:p w14:paraId="09B177FB">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大数据分析方法与工具（分析思路与流程、平台介绍、MySQL查询统计）</w:t>
            </w:r>
          </w:p>
        </w:tc>
        <w:tc>
          <w:tcPr>
            <w:tcW w:w="2766" w:type="dxa"/>
            <w:vAlign w:val="center"/>
          </w:tcPr>
          <w:p w14:paraId="78549EC3">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513851CE">
        <w:trPr>
          <w:trHeight w:val="340" w:hRule="atLeast"/>
          <w:jc w:val="center"/>
        </w:trPr>
        <w:tc>
          <w:tcPr>
            <w:tcW w:w="2765" w:type="dxa"/>
            <w:vAlign w:val="center"/>
          </w:tcPr>
          <w:p w14:paraId="138C73C3">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bottom"/>
          </w:tcPr>
          <w:p w14:paraId="0E41C17B">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企业环境分析（行业分析、SWOT分析、经营战略分析）</w:t>
            </w:r>
          </w:p>
        </w:tc>
        <w:tc>
          <w:tcPr>
            <w:tcW w:w="2766" w:type="dxa"/>
            <w:vAlign w:val="center"/>
          </w:tcPr>
          <w:p w14:paraId="0BA843A9">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0556385A">
        <w:trPr>
          <w:trHeight w:val="340" w:hRule="atLeast"/>
          <w:jc w:val="center"/>
        </w:trPr>
        <w:tc>
          <w:tcPr>
            <w:tcW w:w="2765" w:type="dxa"/>
            <w:vAlign w:val="center"/>
          </w:tcPr>
          <w:p w14:paraId="78A73A80">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bottom"/>
          </w:tcPr>
          <w:p w14:paraId="427C4B91">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销售主题分析（客户与渠道分析、线性回归广告决策、RFM分析）</w:t>
            </w:r>
          </w:p>
        </w:tc>
        <w:tc>
          <w:tcPr>
            <w:tcW w:w="2766" w:type="dxa"/>
            <w:vAlign w:val="center"/>
          </w:tcPr>
          <w:p w14:paraId="356BD850">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62CC704B">
        <w:trPr>
          <w:trHeight w:val="340" w:hRule="atLeast"/>
          <w:jc w:val="center"/>
        </w:trPr>
        <w:tc>
          <w:tcPr>
            <w:tcW w:w="2765" w:type="dxa"/>
            <w:vAlign w:val="center"/>
          </w:tcPr>
          <w:p w14:paraId="57BC8C84">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bottom"/>
          </w:tcPr>
          <w:p w14:paraId="77678A27">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采购主题分析（采购绩效分析、K-means供应商聚类、招标网络风险）</w:t>
            </w:r>
          </w:p>
        </w:tc>
        <w:tc>
          <w:tcPr>
            <w:tcW w:w="2766" w:type="dxa"/>
            <w:vAlign w:val="center"/>
          </w:tcPr>
          <w:p w14:paraId="5A2BF114">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649AF1EC">
        <w:trPr>
          <w:trHeight w:val="340" w:hRule="atLeast"/>
          <w:jc w:val="center"/>
        </w:trPr>
        <w:tc>
          <w:tcPr>
            <w:tcW w:w="2765" w:type="dxa"/>
            <w:vAlign w:val="center"/>
          </w:tcPr>
          <w:p w14:paraId="57FCD9E4">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bottom"/>
          </w:tcPr>
          <w:p w14:paraId="1A3FE835">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存货主题分析（存货结构与库龄分析、减值报损、仓库选址分析）</w:t>
            </w:r>
          </w:p>
        </w:tc>
        <w:tc>
          <w:tcPr>
            <w:tcW w:w="2766" w:type="dxa"/>
            <w:vAlign w:val="center"/>
          </w:tcPr>
          <w:p w14:paraId="20BBEDB5">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3C7AD7E9">
        <w:trPr>
          <w:trHeight w:val="340" w:hRule="atLeast"/>
          <w:jc w:val="center"/>
        </w:trPr>
        <w:tc>
          <w:tcPr>
            <w:tcW w:w="2765" w:type="dxa"/>
            <w:vAlign w:val="center"/>
          </w:tcPr>
          <w:p w14:paraId="273FDB4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第七章</w:t>
            </w:r>
          </w:p>
        </w:tc>
        <w:tc>
          <w:tcPr>
            <w:tcW w:w="2765" w:type="dxa"/>
            <w:vAlign w:val="bottom"/>
          </w:tcPr>
          <w:p w14:paraId="57CC05E3">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生产主题分析（生产质量与交付分析、SVM烘烤时间预测）</w:t>
            </w:r>
          </w:p>
        </w:tc>
        <w:tc>
          <w:tcPr>
            <w:tcW w:w="2766" w:type="dxa"/>
            <w:vAlign w:val="center"/>
          </w:tcPr>
          <w:p w14:paraId="490AC02A">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3ADEEC99">
        <w:trPr>
          <w:trHeight w:val="340" w:hRule="atLeast"/>
          <w:jc w:val="center"/>
        </w:trPr>
        <w:tc>
          <w:tcPr>
            <w:tcW w:w="2765" w:type="dxa"/>
            <w:vAlign w:val="center"/>
          </w:tcPr>
          <w:p w14:paraId="1DF466E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第八章</w:t>
            </w:r>
          </w:p>
        </w:tc>
        <w:tc>
          <w:tcPr>
            <w:tcW w:w="2765" w:type="dxa"/>
            <w:vAlign w:val="bottom"/>
          </w:tcPr>
          <w:p w14:paraId="2197741E">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财务报表分析（资产负债表、利润表、现金流量表的多维大数据分析）</w:t>
            </w:r>
          </w:p>
        </w:tc>
        <w:tc>
          <w:tcPr>
            <w:tcW w:w="2766" w:type="dxa"/>
            <w:vAlign w:val="center"/>
          </w:tcPr>
          <w:p w14:paraId="5D777822">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620C90C1">
        <w:trPr>
          <w:trHeight w:val="340" w:hRule="atLeast"/>
          <w:jc w:val="center"/>
        </w:trPr>
        <w:tc>
          <w:tcPr>
            <w:tcW w:w="2765" w:type="dxa"/>
            <w:vAlign w:val="center"/>
          </w:tcPr>
          <w:p w14:paraId="1F2AB372">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第九章</w:t>
            </w:r>
          </w:p>
        </w:tc>
        <w:tc>
          <w:tcPr>
            <w:tcW w:w="2765" w:type="dxa"/>
            <w:vAlign w:val="bottom"/>
          </w:tcPr>
          <w:p w14:paraId="6B23B244">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财务效率分析（偿债、营运、盈利、发展四大能力指标量化评价）</w:t>
            </w:r>
          </w:p>
        </w:tc>
        <w:tc>
          <w:tcPr>
            <w:tcW w:w="2766" w:type="dxa"/>
            <w:vAlign w:val="center"/>
          </w:tcPr>
          <w:p w14:paraId="3CED065B">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0D6D79C7">
        <w:trPr>
          <w:trHeight w:val="340" w:hRule="atLeast"/>
          <w:jc w:val="center"/>
        </w:trPr>
        <w:tc>
          <w:tcPr>
            <w:tcW w:w="2765" w:type="dxa"/>
            <w:vAlign w:val="center"/>
          </w:tcPr>
          <w:p w14:paraId="424FF0A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第十章</w:t>
            </w:r>
          </w:p>
        </w:tc>
        <w:tc>
          <w:tcPr>
            <w:tcW w:w="2765" w:type="dxa"/>
            <w:vAlign w:val="bottom"/>
          </w:tcPr>
          <w:p w14:paraId="5EB5B17D">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财务预测分析（销售额、采购需求及资金时间序列预测）</w:t>
            </w:r>
          </w:p>
        </w:tc>
        <w:tc>
          <w:tcPr>
            <w:tcW w:w="2766" w:type="dxa"/>
            <w:vAlign w:val="center"/>
          </w:tcPr>
          <w:p w14:paraId="50D4E8E0">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r w14:paraId="70D1D353">
        <w:trPr>
          <w:trHeight w:val="340" w:hRule="atLeast"/>
          <w:jc w:val="center"/>
        </w:trPr>
        <w:tc>
          <w:tcPr>
            <w:tcW w:w="2765" w:type="dxa"/>
            <w:vAlign w:val="center"/>
          </w:tcPr>
          <w:p w14:paraId="39F16B8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第十一章</w:t>
            </w:r>
          </w:p>
        </w:tc>
        <w:tc>
          <w:tcPr>
            <w:tcW w:w="2765" w:type="dxa"/>
            <w:vAlign w:val="bottom"/>
          </w:tcPr>
          <w:p w14:paraId="31408A51">
            <w:pPr>
              <w:keepNext w:val="0"/>
              <w:keepLines w:val="0"/>
              <w:widowControl/>
              <w:suppressLineNumbers w:val="0"/>
              <w:bidi w:val="0"/>
              <w:jc w:val="left"/>
              <w:textAlignment w:val="bottom"/>
              <w:rPr>
                <w:rFonts w:ascii="宋体" w:hAnsi="宋体" w:eastAsia="宋体"/>
              </w:rPr>
            </w:pPr>
            <w:r>
              <w:rPr>
                <w:rFonts w:hint="default" w:ascii="Arial" w:hAnsi="Arial" w:eastAsia="宋体" w:cs="Arial"/>
                <w:kern w:val="0"/>
                <w:sz w:val="20"/>
                <w:szCs w:val="20"/>
                <w:lang w:val="en-US" w:eastAsia="zh-CN" w:bidi="ar"/>
              </w:rPr>
              <w:t>企业风险分析（客户信用、财务舞弊识别、财务困境预警及期末综合答辩）</w:t>
            </w:r>
          </w:p>
        </w:tc>
        <w:tc>
          <w:tcPr>
            <w:tcW w:w="2766" w:type="dxa"/>
            <w:vAlign w:val="center"/>
          </w:tcPr>
          <w:p w14:paraId="7C7215FB">
            <w:pPr>
              <w:widowControl/>
              <w:spacing w:before="156" w:beforeLines="50" w:after="156" w:afterLines="50"/>
              <w:jc w:val="center"/>
              <w:rPr>
                <w:rFonts w:ascii="宋体" w:hAnsi="宋体" w:eastAsia="宋体"/>
              </w:rPr>
            </w:pPr>
            <w:r>
              <w:rPr>
                <w:rFonts w:hint="eastAsia" w:ascii="宋体" w:hAnsi="宋体" w:eastAsia="宋体"/>
                <w:lang w:val="en-US" w:eastAsia="zh-CN"/>
              </w:rPr>
              <w:t>3</w:t>
            </w:r>
          </w:p>
        </w:tc>
      </w:tr>
    </w:tbl>
    <w:p w14:paraId="4FB9D884">
      <w:pPr>
        <w:widowControl/>
        <w:spacing w:before="156" w:beforeLines="50" w:after="156" w:afterLines="50"/>
        <w:ind w:firstLine="561" w:firstLineChars="200"/>
        <w:jc w:val="left"/>
      </w:pPr>
      <w:r>
        <w:rPr>
          <w:rFonts w:hint="eastAsia" w:ascii="黑体" w:hAnsi="黑体" w:eastAsia="黑体"/>
          <w:b/>
          <w:sz w:val="28"/>
          <w:szCs w:val="28"/>
        </w:rPr>
        <w:t>五、教学进度</w:t>
      </w:r>
      <w:r>
        <w:rPr>
          <w:rFonts w:hint="eastAsia" w:ascii="宋体" w:hAnsi="宋体" w:eastAsia="宋体"/>
        </w:rPr>
        <w:t>（四号黑体）</w:t>
      </w:r>
    </w:p>
    <w:p w14:paraId="27B415B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b/>
          <w:szCs w:val="21"/>
        </w:rPr>
        <w:t>表3：教学进度表</w:t>
      </w:r>
    </w:p>
    <w:tbl>
      <w:tblPr>
        <w:tblStyle w:val="8"/>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678"/>
        <w:gridCol w:w="1145"/>
        <w:gridCol w:w="2636"/>
        <w:gridCol w:w="816"/>
        <w:gridCol w:w="1386"/>
        <w:gridCol w:w="904"/>
      </w:tblGrid>
      <w:tr w14:paraId="524E7ABF">
        <w:trPr>
          <w:trHeight w:val="340" w:hRule="atLeast"/>
          <w:jc w:val="center"/>
        </w:trPr>
        <w:tc>
          <w:tcPr>
            <w:tcW w:w="782" w:type="dxa"/>
            <w:vAlign w:val="center"/>
          </w:tcPr>
          <w:p w14:paraId="42B3196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678" w:type="dxa"/>
            <w:vAlign w:val="center"/>
          </w:tcPr>
          <w:p w14:paraId="6BE2562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510699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636" w:type="dxa"/>
            <w:vAlign w:val="center"/>
          </w:tcPr>
          <w:p w14:paraId="41B09CA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16" w:type="dxa"/>
            <w:vAlign w:val="center"/>
          </w:tcPr>
          <w:p w14:paraId="2F768C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7201C88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4976169E">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543F5C17">
        <w:trPr>
          <w:trHeight w:val="340" w:hRule="atLeast"/>
          <w:jc w:val="center"/>
        </w:trPr>
        <w:tc>
          <w:tcPr>
            <w:tcW w:w="782" w:type="dxa"/>
            <w:vAlign w:val="center"/>
          </w:tcPr>
          <w:p w14:paraId="27C7D8F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-2</w:t>
            </w:r>
          </w:p>
        </w:tc>
        <w:tc>
          <w:tcPr>
            <w:tcW w:w="678" w:type="dxa"/>
          </w:tcPr>
          <w:p w14:paraId="38DA4A14">
            <w:pPr>
              <w:widowControl/>
              <w:spacing w:before="156" w:beforeLines="50" w:after="156" w:afterLines="50"/>
              <w:jc w:val="left"/>
              <w:rPr>
                <w:rFonts w:ascii="宋体" w:hAnsi="宋体" w:eastAsia="宋体"/>
                <w:szCs w:val="21"/>
              </w:rPr>
            </w:pPr>
          </w:p>
        </w:tc>
        <w:tc>
          <w:tcPr>
            <w:tcW w:w="1145" w:type="dxa"/>
            <w:vAlign w:val="bottom"/>
          </w:tcPr>
          <w:p w14:paraId="2958A168">
            <w:pPr>
              <w:keepNext w:val="0"/>
              <w:keepLines w:val="0"/>
              <w:widowControl/>
              <w:suppressLineNumbers w:val="0"/>
              <w:bidi w:val="0"/>
              <w:jc w:val="left"/>
              <w:textAlignment w:val="bottom"/>
              <w:rPr>
                <w:rFonts w:hint="default" w:ascii="宋体" w:hAnsi="宋体" w:eastAsia="宋体"/>
                <w:szCs w:val="21"/>
                <w:lang w:val="en-US" w:eastAsia="zh-CN"/>
              </w:rPr>
            </w:pPr>
            <w:r>
              <w:rPr>
                <w:rFonts w:hint="default" w:ascii="Arial" w:hAnsi="Arial" w:eastAsia="宋体" w:cs="Arial"/>
                <w:kern w:val="0"/>
                <w:sz w:val="20"/>
                <w:szCs w:val="20"/>
                <w:lang w:val="en-US" w:eastAsia="zh-CN" w:bidi="ar"/>
              </w:rPr>
              <w:t>第一、二章</w:t>
            </w:r>
          </w:p>
        </w:tc>
        <w:tc>
          <w:tcPr>
            <w:tcW w:w="2636" w:type="dxa"/>
            <w:vAlign w:val="bottom"/>
          </w:tcPr>
          <w:p w14:paraId="4834D8D7">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认识大数据</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大数据的基本特征与各行业应用</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大数据分析方法与工具</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金蝶轻分析/大数据平台介绍，MySQL基础查询上机练习</w:t>
            </w:r>
            <w:r>
              <w:rPr>
                <w:rFonts w:hint="eastAsia" w:ascii="Arial" w:hAnsi="Arial" w:eastAsia="宋体" w:cs="Arial"/>
                <w:kern w:val="0"/>
                <w:sz w:val="20"/>
                <w:szCs w:val="20"/>
                <w:lang w:val="en-US" w:eastAsia="zh-CN" w:bidi="ar"/>
              </w:rPr>
              <w:t>。</w:t>
            </w:r>
          </w:p>
        </w:tc>
        <w:tc>
          <w:tcPr>
            <w:tcW w:w="816" w:type="dxa"/>
            <w:vAlign w:val="bottom"/>
          </w:tcPr>
          <w:p w14:paraId="2E6F8394">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07178595">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完成MySQL基础查询上机实操练习。</w:t>
            </w:r>
          </w:p>
        </w:tc>
        <w:tc>
          <w:tcPr>
            <w:tcW w:w="904" w:type="dxa"/>
            <w:vAlign w:val="bottom"/>
          </w:tcPr>
          <w:p w14:paraId="2C6C5D2D">
            <w:pPr>
              <w:rPr>
                <w:rFonts w:ascii="宋体" w:hAnsi="宋体" w:eastAsia="宋体"/>
                <w:szCs w:val="21"/>
              </w:rPr>
            </w:pPr>
          </w:p>
        </w:tc>
      </w:tr>
      <w:tr w14:paraId="083C6962">
        <w:trPr>
          <w:trHeight w:val="340" w:hRule="atLeast"/>
          <w:jc w:val="center"/>
        </w:trPr>
        <w:tc>
          <w:tcPr>
            <w:tcW w:w="782" w:type="dxa"/>
            <w:vAlign w:val="center"/>
          </w:tcPr>
          <w:p w14:paraId="1DBCC8E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3-4</w:t>
            </w:r>
          </w:p>
        </w:tc>
        <w:tc>
          <w:tcPr>
            <w:tcW w:w="678" w:type="dxa"/>
          </w:tcPr>
          <w:p w14:paraId="6E742AFE">
            <w:pPr>
              <w:widowControl/>
              <w:spacing w:before="156" w:beforeLines="50" w:after="156" w:afterLines="50"/>
              <w:jc w:val="left"/>
              <w:rPr>
                <w:rFonts w:ascii="宋体" w:hAnsi="宋体" w:eastAsia="宋体"/>
                <w:szCs w:val="21"/>
              </w:rPr>
            </w:pPr>
          </w:p>
        </w:tc>
        <w:tc>
          <w:tcPr>
            <w:tcW w:w="1145" w:type="dxa"/>
            <w:vAlign w:val="bottom"/>
          </w:tcPr>
          <w:p w14:paraId="79A253BF">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第三、四章</w:t>
            </w:r>
          </w:p>
        </w:tc>
        <w:tc>
          <w:tcPr>
            <w:tcW w:w="2636" w:type="dxa"/>
            <w:vAlign w:val="bottom"/>
          </w:tcPr>
          <w:p w14:paraId="6373C1CB">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企业环境分析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行业分析、SWOT与战略分析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销售主题分析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产品、客户与渠道分析，广告投放线性回归模型，消费者RFM分析</w:t>
            </w:r>
            <w:r>
              <w:rPr>
                <w:rFonts w:hint="eastAsia" w:ascii="Arial" w:hAnsi="Arial" w:eastAsia="宋体" w:cs="Arial"/>
                <w:kern w:val="0"/>
                <w:sz w:val="20"/>
                <w:szCs w:val="20"/>
                <w:lang w:val="en-US" w:eastAsia="zh-CN" w:bidi="ar"/>
              </w:rPr>
              <w:t>。</w:t>
            </w:r>
          </w:p>
        </w:tc>
        <w:tc>
          <w:tcPr>
            <w:tcW w:w="816" w:type="dxa"/>
            <w:vAlign w:val="bottom"/>
          </w:tcPr>
          <w:p w14:paraId="6ADE68E0">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716A5B4C">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提交指定企业的外部环境与战略分析报告；上机完成RFM模型构建。</w:t>
            </w:r>
          </w:p>
        </w:tc>
        <w:tc>
          <w:tcPr>
            <w:tcW w:w="904" w:type="dxa"/>
            <w:vAlign w:val="bottom"/>
          </w:tcPr>
          <w:p w14:paraId="183D719E">
            <w:pPr>
              <w:rPr>
                <w:rFonts w:ascii="宋体" w:hAnsi="宋体" w:eastAsia="宋体"/>
                <w:szCs w:val="21"/>
              </w:rPr>
            </w:pPr>
          </w:p>
        </w:tc>
      </w:tr>
      <w:tr w14:paraId="392D1260">
        <w:trPr>
          <w:trHeight w:val="340" w:hRule="atLeast"/>
          <w:jc w:val="center"/>
        </w:trPr>
        <w:tc>
          <w:tcPr>
            <w:tcW w:w="782" w:type="dxa"/>
            <w:vAlign w:val="center"/>
          </w:tcPr>
          <w:p w14:paraId="10A383C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5-6</w:t>
            </w:r>
          </w:p>
        </w:tc>
        <w:tc>
          <w:tcPr>
            <w:tcW w:w="678" w:type="dxa"/>
          </w:tcPr>
          <w:p w14:paraId="6C04604F">
            <w:pPr>
              <w:widowControl/>
              <w:spacing w:before="156" w:beforeLines="50" w:after="156" w:afterLines="50"/>
              <w:jc w:val="left"/>
              <w:rPr>
                <w:rFonts w:ascii="宋体" w:hAnsi="宋体" w:eastAsia="宋体"/>
                <w:szCs w:val="21"/>
              </w:rPr>
            </w:pPr>
          </w:p>
        </w:tc>
        <w:tc>
          <w:tcPr>
            <w:tcW w:w="1145" w:type="dxa"/>
            <w:vAlign w:val="bottom"/>
          </w:tcPr>
          <w:p w14:paraId="7EEF94CE">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第五、六章</w:t>
            </w:r>
          </w:p>
        </w:tc>
        <w:tc>
          <w:tcPr>
            <w:tcW w:w="2636" w:type="dxa"/>
            <w:vAlign w:val="bottom"/>
          </w:tcPr>
          <w:p w14:paraId="482CA86F">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采购主题分析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采购成本与绩效分析，K-means供应商聚类分析，基于社交网络分析招标风险</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存货主题分析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存货结构、减值报损及仓库选址分析</w:t>
            </w:r>
            <w:r>
              <w:rPr>
                <w:rFonts w:hint="eastAsia" w:ascii="Arial" w:hAnsi="Arial" w:eastAsia="宋体" w:cs="Arial"/>
                <w:kern w:val="0"/>
                <w:sz w:val="20"/>
                <w:szCs w:val="20"/>
                <w:lang w:val="en-US" w:eastAsia="zh-CN" w:bidi="ar"/>
              </w:rPr>
              <w:t>。</w:t>
            </w:r>
          </w:p>
        </w:tc>
        <w:tc>
          <w:tcPr>
            <w:tcW w:w="816" w:type="dxa"/>
            <w:vAlign w:val="bottom"/>
          </w:tcPr>
          <w:p w14:paraId="74467F11">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4F8599B9">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提交供应商K-means聚类分析实验报告；计算并分析指定数据集的存货库龄。</w:t>
            </w:r>
          </w:p>
        </w:tc>
        <w:tc>
          <w:tcPr>
            <w:tcW w:w="904" w:type="dxa"/>
            <w:vAlign w:val="bottom"/>
          </w:tcPr>
          <w:p w14:paraId="5367336F">
            <w:pPr>
              <w:rPr>
                <w:rFonts w:ascii="宋体" w:hAnsi="宋体" w:eastAsia="宋体"/>
                <w:szCs w:val="21"/>
              </w:rPr>
            </w:pPr>
          </w:p>
        </w:tc>
      </w:tr>
      <w:tr w14:paraId="5F496ACC">
        <w:trPr>
          <w:trHeight w:val="340" w:hRule="atLeast"/>
          <w:jc w:val="center"/>
        </w:trPr>
        <w:tc>
          <w:tcPr>
            <w:tcW w:w="782" w:type="dxa"/>
            <w:vAlign w:val="center"/>
          </w:tcPr>
          <w:p w14:paraId="1126B9A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7-8</w:t>
            </w:r>
          </w:p>
        </w:tc>
        <w:tc>
          <w:tcPr>
            <w:tcW w:w="678" w:type="dxa"/>
          </w:tcPr>
          <w:p w14:paraId="15AE02A8">
            <w:pPr>
              <w:widowControl/>
              <w:spacing w:before="156" w:beforeLines="50" w:after="156" w:afterLines="50"/>
              <w:jc w:val="left"/>
              <w:rPr>
                <w:rFonts w:ascii="宋体" w:hAnsi="宋体" w:eastAsia="宋体"/>
                <w:szCs w:val="21"/>
              </w:rPr>
            </w:pPr>
          </w:p>
        </w:tc>
        <w:tc>
          <w:tcPr>
            <w:tcW w:w="1145" w:type="dxa"/>
            <w:vAlign w:val="bottom"/>
          </w:tcPr>
          <w:p w14:paraId="4FA8B495">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第七、八章</w:t>
            </w:r>
          </w:p>
        </w:tc>
        <w:tc>
          <w:tcPr>
            <w:tcW w:w="2636" w:type="dxa"/>
            <w:vAlign w:val="bottom"/>
          </w:tcPr>
          <w:p w14:paraId="162491E5">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生产主题分析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生产质量与交付分析，基于支持向量机的烘烤时间预测</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财务报表分析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资产负债表、利润表及现金流量表的多维大数据分析</w:t>
            </w:r>
            <w:r>
              <w:rPr>
                <w:rFonts w:hint="eastAsia" w:ascii="Arial" w:hAnsi="Arial" w:eastAsia="宋体" w:cs="Arial"/>
                <w:kern w:val="0"/>
                <w:sz w:val="20"/>
                <w:szCs w:val="20"/>
                <w:lang w:val="en-US" w:eastAsia="zh-CN" w:bidi="ar"/>
              </w:rPr>
              <w:t>。</w:t>
            </w:r>
          </w:p>
        </w:tc>
        <w:tc>
          <w:tcPr>
            <w:tcW w:w="816" w:type="dxa"/>
            <w:vAlign w:val="bottom"/>
          </w:tcPr>
          <w:p w14:paraId="13FDC8E6">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0A10D6B5">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上机验证SVM预测模型实训代码；制作指定上市公司的财报多维可视化图表。</w:t>
            </w:r>
          </w:p>
        </w:tc>
        <w:tc>
          <w:tcPr>
            <w:tcW w:w="904" w:type="dxa"/>
            <w:vAlign w:val="bottom"/>
          </w:tcPr>
          <w:p w14:paraId="4309853E">
            <w:pPr>
              <w:rPr>
                <w:rFonts w:ascii="宋体" w:hAnsi="宋体" w:eastAsia="宋体"/>
                <w:szCs w:val="21"/>
              </w:rPr>
            </w:pPr>
          </w:p>
        </w:tc>
      </w:tr>
      <w:tr w14:paraId="7B6E7A7E">
        <w:trPr>
          <w:trHeight w:val="340" w:hRule="atLeast"/>
          <w:jc w:val="center"/>
        </w:trPr>
        <w:tc>
          <w:tcPr>
            <w:tcW w:w="782" w:type="dxa"/>
            <w:vAlign w:val="center"/>
          </w:tcPr>
          <w:p w14:paraId="1E92F4B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9-10</w:t>
            </w:r>
          </w:p>
        </w:tc>
        <w:tc>
          <w:tcPr>
            <w:tcW w:w="678" w:type="dxa"/>
          </w:tcPr>
          <w:p w14:paraId="06C20950">
            <w:pPr>
              <w:widowControl/>
              <w:spacing w:before="156" w:beforeLines="50" w:after="156" w:afterLines="50"/>
              <w:jc w:val="left"/>
              <w:rPr>
                <w:rFonts w:ascii="宋体" w:hAnsi="宋体" w:eastAsia="宋体"/>
                <w:szCs w:val="21"/>
              </w:rPr>
            </w:pPr>
          </w:p>
        </w:tc>
        <w:tc>
          <w:tcPr>
            <w:tcW w:w="1145" w:type="dxa"/>
            <w:vAlign w:val="bottom"/>
          </w:tcPr>
          <w:p w14:paraId="5CEC01D3">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第九、十章</w:t>
            </w:r>
          </w:p>
        </w:tc>
        <w:tc>
          <w:tcPr>
            <w:tcW w:w="2636" w:type="dxa"/>
            <w:vAlign w:val="bottom"/>
          </w:tcPr>
          <w:p w14:paraId="650EEB98">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财务效率分析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偿债、营运、盈利及发展能力分析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财务预测分析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销售额预测分析、采购需求预测及资金预测分析</w:t>
            </w:r>
            <w:r>
              <w:rPr>
                <w:rFonts w:hint="eastAsia" w:ascii="Arial" w:hAnsi="Arial" w:eastAsia="宋体" w:cs="Arial"/>
                <w:kern w:val="0"/>
                <w:sz w:val="20"/>
                <w:szCs w:val="20"/>
                <w:lang w:val="en-US" w:eastAsia="zh-CN" w:bidi="ar"/>
              </w:rPr>
              <w:t>。</w:t>
            </w:r>
          </w:p>
        </w:tc>
        <w:tc>
          <w:tcPr>
            <w:tcW w:w="816" w:type="dxa"/>
            <w:vAlign w:val="bottom"/>
          </w:tcPr>
          <w:p w14:paraId="08710E4C">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743E388C">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撰写同行业财务效率综合对标与评价报告；上机完成资金时间序列预测验证。</w:t>
            </w:r>
          </w:p>
        </w:tc>
        <w:tc>
          <w:tcPr>
            <w:tcW w:w="904" w:type="dxa"/>
            <w:vAlign w:val="bottom"/>
          </w:tcPr>
          <w:p w14:paraId="120C42E1">
            <w:pPr>
              <w:rPr>
                <w:rFonts w:ascii="宋体" w:hAnsi="宋体" w:eastAsia="宋体"/>
                <w:szCs w:val="21"/>
              </w:rPr>
            </w:pPr>
          </w:p>
        </w:tc>
      </w:tr>
      <w:tr w14:paraId="5EB75922">
        <w:trPr>
          <w:trHeight w:val="340" w:hRule="atLeast"/>
          <w:jc w:val="center"/>
        </w:trPr>
        <w:tc>
          <w:tcPr>
            <w:tcW w:w="782" w:type="dxa"/>
            <w:vAlign w:val="center"/>
          </w:tcPr>
          <w:p w14:paraId="2D62192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11-12</w:t>
            </w:r>
          </w:p>
        </w:tc>
        <w:tc>
          <w:tcPr>
            <w:tcW w:w="678" w:type="dxa"/>
          </w:tcPr>
          <w:p w14:paraId="276BE701">
            <w:pPr>
              <w:widowControl/>
              <w:spacing w:before="156" w:beforeLines="50" w:after="156" w:afterLines="50"/>
              <w:jc w:val="left"/>
              <w:rPr>
                <w:rFonts w:ascii="宋体" w:hAnsi="宋体" w:eastAsia="宋体"/>
                <w:szCs w:val="21"/>
              </w:rPr>
            </w:pPr>
          </w:p>
        </w:tc>
        <w:tc>
          <w:tcPr>
            <w:tcW w:w="1145" w:type="dxa"/>
            <w:vAlign w:val="bottom"/>
          </w:tcPr>
          <w:p w14:paraId="7189D22C">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第十一章</w:t>
            </w:r>
          </w:p>
        </w:tc>
        <w:tc>
          <w:tcPr>
            <w:tcW w:w="2636" w:type="dxa"/>
            <w:vAlign w:val="bottom"/>
          </w:tcPr>
          <w:p w14:paraId="4F50E6C2">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企业风险分析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客户信用风险分析、财务舞弊风险分析及财务困境预警分析</w:t>
            </w:r>
            <w:r>
              <w:rPr>
                <w:rFonts w:hint="eastAsia" w:ascii="Arial" w:hAnsi="Arial" w:eastAsia="宋体" w:cs="Arial"/>
                <w:kern w:val="0"/>
                <w:sz w:val="20"/>
                <w:szCs w:val="20"/>
                <w:lang w:val="en-US" w:eastAsia="zh-CN" w:bidi="ar"/>
              </w:rPr>
              <w:t>。</w:t>
            </w:r>
            <w:r>
              <w:rPr>
                <w:rFonts w:hint="default" w:ascii="Arial" w:hAnsi="Arial" w:eastAsia="宋体" w:cs="Arial"/>
                <w:kern w:val="0"/>
                <w:sz w:val="20"/>
                <w:szCs w:val="20"/>
                <w:lang w:val="en-US" w:eastAsia="zh-CN" w:bidi="ar"/>
              </w:rPr>
              <w:t>期末项目实战与答辩。</w:t>
            </w:r>
          </w:p>
        </w:tc>
        <w:tc>
          <w:tcPr>
            <w:tcW w:w="816" w:type="dxa"/>
            <w:vAlign w:val="bottom"/>
          </w:tcPr>
          <w:p w14:paraId="6DB17538">
            <w:pPr>
              <w:keepNext w:val="0"/>
              <w:keepLines w:val="0"/>
              <w:widowControl/>
              <w:suppressLineNumbers w:val="0"/>
              <w:bidi w:val="0"/>
              <w:jc w:val="right"/>
              <w:textAlignment w:val="bottom"/>
              <w:rPr>
                <w:rFonts w:ascii="宋体" w:hAnsi="宋体" w:eastAsia="宋体"/>
                <w:szCs w:val="21"/>
              </w:rPr>
            </w:pPr>
            <w:r>
              <w:rPr>
                <w:rFonts w:hint="default" w:ascii="Arial" w:hAnsi="Arial" w:eastAsia="宋体" w:cs="Arial"/>
                <w:kern w:val="0"/>
                <w:sz w:val="20"/>
                <w:szCs w:val="20"/>
                <w:lang w:val="en-US" w:eastAsia="zh-CN" w:bidi="ar"/>
              </w:rPr>
              <w:t>6</w:t>
            </w:r>
          </w:p>
        </w:tc>
        <w:tc>
          <w:tcPr>
            <w:tcW w:w="1386" w:type="dxa"/>
            <w:vAlign w:val="bottom"/>
          </w:tcPr>
          <w:p w14:paraId="4BEACFE4">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分组完成期末综合大作业（财务风险预警诊断项目），并准备结课成果汇报。</w:t>
            </w:r>
          </w:p>
        </w:tc>
        <w:tc>
          <w:tcPr>
            <w:tcW w:w="904" w:type="dxa"/>
            <w:vAlign w:val="bottom"/>
          </w:tcPr>
          <w:p w14:paraId="0A36430F">
            <w:pPr>
              <w:rPr>
                <w:rFonts w:ascii="宋体" w:hAnsi="宋体" w:eastAsia="宋体"/>
                <w:szCs w:val="21"/>
              </w:rPr>
            </w:pPr>
          </w:p>
        </w:tc>
      </w:tr>
    </w:tbl>
    <w:p w14:paraId="3AE36084">
      <w:pPr>
        <w:widowControl/>
        <w:spacing w:before="156" w:beforeLines="50" w:after="156" w:afterLines="50"/>
        <w:ind w:firstLine="561"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7C827F6B">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w:t>
      </w:r>
      <w:r>
        <w:rPr>
          <w:rFonts w:hint="eastAsia" w:ascii="宋体" w:hAnsi="宋体" w:eastAsia="宋体"/>
          <w:lang w:val="en-US" w:eastAsia="zh-CN"/>
        </w:rPr>
        <w:t>刘占双等，《财务大数据分析》，清华大学出版社</w:t>
      </w:r>
      <w:r>
        <w:rPr>
          <w:rFonts w:ascii="宋体" w:hAnsi="宋体" w:eastAsia="宋体"/>
        </w:rPr>
        <w:t xml:space="preserve"> </w:t>
      </w:r>
    </w:p>
    <w:p w14:paraId="355F2FBF">
      <w:pPr>
        <w:widowControl/>
        <w:spacing w:before="156" w:beforeLines="50" w:after="156" w:afterLines="50"/>
        <w:ind w:firstLine="561"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3B0D4AF8">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1．讲授法： 针对大数据的基本概念、财务数据分析的理论框架，以及核心算法（如K-means聚类、支持向量机、时间序列预测等）的底层逻辑，采用课堂多媒体讲授的方式。通过系统性的理论梳理，帮助学生快速构建扎实的财务大数据专业知识体系。</w:t>
      </w:r>
    </w:p>
    <w:p w14:paraId="3B0803B0">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2．案例教学法： 依托教材中新零售等行业企业的典型业务场景（涉及销售、采购、生产、存货等各个环节）</w:t>
      </w:r>
      <w:r>
        <w:rPr>
          <w:rFonts w:hint="eastAsia" w:ascii="宋体" w:hAnsi="宋体" w:eastAsia="宋体"/>
          <w:lang w:eastAsia="zh-CN"/>
        </w:rPr>
        <w:t>，</w:t>
      </w:r>
      <w:r>
        <w:rPr>
          <w:rFonts w:hint="eastAsia" w:ascii="宋体" w:hAnsi="宋体" w:eastAsia="宋体"/>
        </w:rPr>
        <w:t>引导学生代入企业高层管理者视角。通过剖析真实商业案例中大数据的实际应用与决策过程，有效培养学生的业财融合思维与敏锐的数据商业嗅觉。</w:t>
      </w:r>
    </w:p>
    <w:p w14:paraId="4EB52AEC">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3．实验实操教学法： 秉持“边学边练、以练促学”的原则，在机房等实验环境下，教师现场演示金蝶轻分析平台、金蝶大数据平台以及MySQL等分析工具的操作规范</w:t>
      </w:r>
      <w:r>
        <w:rPr>
          <w:rFonts w:hint="eastAsia" w:ascii="宋体" w:hAnsi="宋体" w:eastAsia="宋体"/>
          <w:lang w:eastAsia="zh-CN"/>
        </w:rPr>
        <w:t>。</w:t>
      </w:r>
      <w:r>
        <w:rPr>
          <w:rFonts w:hint="eastAsia" w:ascii="宋体" w:hAnsi="宋体" w:eastAsia="宋体"/>
        </w:rPr>
        <w:t>指导学生亲自动手完成数据采集、清洗、数据可视化及挖掘建模的全过程，将理论知识切实转化为数据处理硬技能。</w:t>
      </w:r>
    </w:p>
    <w:p w14:paraId="166C284B">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4E528502">
      <w:pPr>
        <w:widowControl/>
        <w:spacing w:before="156" w:beforeLines="50" w:after="156" w:afterLines="50"/>
        <w:ind w:firstLine="480"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4EC58DAB">
      <w:pPr>
        <w:widowControl/>
        <w:spacing w:before="156" w:beforeLines="50" w:after="156" w:afterLines="50"/>
        <w:jc w:val="center"/>
        <w:rPr>
          <w:rFonts w:hint="eastAsia" w:ascii="宋体" w:hAnsi="宋体" w:eastAsia="宋体"/>
          <w:szCs w:val="21"/>
          <w:lang w:eastAsia="zh-CN"/>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589E70EE">
        <w:trPr>
          <w:trHeight w:val="567" w:hRule="atLeast"/>
          <w:jc w:val="center"/>
        </w:trPr>
        <w:tc>
          <w:tcPr>
            <w:tcW w:w="2847" w:type="dxa"/>
            <w:vAlign w:val="center"/>
          </w:tcPr>
          <w:p w14:paraId="0BD8C133">
            <w:pPr>
              <w:pStyle w:val="2"/>
              <w:spacing w:before="156" w:beforeLines="50" w:after="156" w:afterLines="50"/>
              <w:jc w:val="center"/>
              <w:rPr>
                <w:rFonts w:hAnsi="宋体"/>
                <w:b/>
              </w:rPr>
            </w:pPr>
            <w:r>
              <w:rPr>
                <w:rFonts w:hint="eastAsia" w:hAnsi="宋体"/>
                <w:b/>
              </w:rPr>
              <w:t>课程目标</w:t>
            </w:r>
          </w:p>
        </w:tc>
        <w:tc>
          <w:tcPr>
            <w:tcW w:w="2849" w:type="dxa"/>
            <w:vAlign w:val="center"/>
          </w:tcPr>
          <w:p w14:paraId="15788078">
            <w:pPr>
              <w:pStyle w:val="2"/>
              <w:spacing w:before="156" w:beforeLines="50" w:after="156" w:afterLines="50"/>
              <w:jc w:val="center"/>
              <w:rPr>
                <w:rFonts w:hAnsi="宋体"/>
                <w:b/>
              </w:rPr>
            </w:pPr>
            <w:r>
              <w:rPr>
                <w:rFonts w:hint="eastAsia" w:hAnsi="宋体"/>
                <w:b/>
              </w:rPr>
              <w:t>考核要点</w:t>
            </w:r>
          </w:p>
        </w:tc>
        <w:tc>
          <w:tcPr>
            <w:tcW w:w="2849" w:type="dxa"/>
            <w:vAlign w:val="center"/>
          </w:tcPr>
          <w:p w14:paraId="4AE5453F">
            <w:pPr>
              <w:pStyle w:val="2"/>
              <w:spacing w:before="156" w:beforeLines="50" w:after="156" w:afterLines="50"/>
              <w:jc w:val="center"/>
              <w:rPr>
                <w:rFonts w:hAnsi="宋体"/>
                <w:b/>
              </w:rPr>
            </w:pPr>
            <w:r>
              <w:rPr>
                <w:rFonts w:hint="eastAsia" w:hAnsi="宋体"/>
                <w:b/>
              </w:rPr>
              <w:t>考核方式</w:t>
            </w:r>
          </w:p>
        </w:tc>
      </w:tr>
      <w:tr w14:paraId="48931CFA">
        <w:trPr>
          <w:trHeight w:val="567" w:hRule="atLeast"/>
          <w:jc w:val="center"/>
        </w:trPr>
        <w:tc>
          <w:tcPr>
            <w:tcW w:w="2847" w:type="dxa"/>
            <w:vAlign w:val="center"/>
          </w:tcPr>
          <w:p w14:paraId="515F3BA4">
            <w:pPr>
              <w:pStyle w:val="2"/>
              <w:spacing w:before="156" w:beforeLines="50" w:after="156" w:afterLines="50"/>
              <w:jc w:val="center"/>
              <w:rPr>
                <w:rFonts w:hAnsi="宋体"/>
              </w:rPr>
            </w:pPr>
            <w:r>
              <w:rPr>
                <w:rFonts w:hint="eastAsia" w:hAnsi="宋体"/>
              </w:rPr>
              <w:t>课程目标1</w:t>
            </w:r>
          </w:p>
        </w:tc>
        <w:tc>
          <w:tcPr>
            <w:tcW w:w="2849" w:type="dxa"/>
            <w:vAlign w:val="bottom"/>
          </w:tcPr>
          <w:p w14:paraId="4D7FF2F8">
            <w:pPr>
              <w:keepNext w:val="0"/>
              <w:keepLines w:val="0"/>
              <w:widowControl/>
              <w:suppressLineNumbers w:val="0"/>
              <w:bidi w:val="0"/>
              <w:jc w:val="left"/>
              <w:textAlignment w:val="bottom"/>
              <w:rPr>
                <w:rFonts w:hAnsi="宋体"/>
                <w:b/>
              </w:rPr>
            </w:pPr>
            <w:r>
              <w:rPr>
                <w:rFonts w:hint="default" w:ascii="Arial" w:hAnsi="Arial" w:eastAsia="宋体" w:cs="Arial"/>
                <w:kern w:val="0"/>
                <w:sz w:val="20"/>
                <w:szCs w:val="20"/>
                <w:lang w:val="en-US" w:eastAsia="zh-CN" w:bidi="ar"/>
              </w:rPr>
              <w:t>掌握财务大数据的基本概念、特征及业财融合的分析框架；熟悉主流大数据分析工具（如金蝶平台、MySQL等）的基础操作、数据逻辑与查询规范。</w:t>
            </w:r>
          </w:p>
        </w:tc>
        <w:tc>
          <w:tcPr>
            <w:tcW w:w="2849" w:type="dxa"/>
            <w:vAlign w:val="bottom"/>
          </w:tcPr>
          <w:p w14:paraId="4098FF9E">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hAnsi="宋体"/>
                <w:b/>
              </w:rPr>
            </w:pPr>
            <w:r>
              <w:rPr>
                <w:rFonts w:hint="default" w:ascii="Arial" w:hAnsi="Arial" w:eastAsia="宋体" w:cs="Arial"/>
                <w:kern w:val="0"/>
                <w:sz w:val="20"/>
                <w:szCs w:val="20"/>
                <w:lang w:val="en-US" w:eastAsia="zh-CN" w:bidi="ar"/>
              </w:rPr>
              <w:t>平时作业、课堂提问、期末考核（基础理论与代码客观题部分）</w:t>
            </w:r>
          </w:p>
        </w:tc>
      </w:tr>
      <w:tr w14:paraId="1F636D43">
        <w:trPr>
          <w:trHeight w:val="567" w:hRule="atLeast"/>
          <w:jc w:val="center"/>
        </w:trPr>
        <w:tc>
          <w:tcPr>
            <w:tcW w:w="2847" w:type="dxa"/>
            <w:vAlign w:val="center"/>
          </w:tcPr>
          <w:p w14:paraId="4ECB6EB9">
            <w:pPr>
              <w:pStyle w:val="2"/>
              <w:spacing w:before="156" w:beforeLines="50" w:after="156" w:afterLines="50"/>
              <w:jc w:val="center"/>
              <w:rPr>
                <w:rFonts w:hAnsi="宋体"/>
              </w:rPr>
            </w:pPr>
            <w:r>
              <w:rPr>
                <w:rFonts w:hint="eastAsia" w:hAnsi="宋体"/>
              </w:rPr>
              <w:t>课程目标2</w:t>
            </w:r>
          </w:p>
        </w:tc>
        <w:tc>
          <w:tcPr>
            <w:tcW w:w="2849" w:type="dxa"/>
            <w:vAlign w:val="bottom"/>
          </w:tcPr>
          <w:p w14:paraId="6D63891E">
            <w:pPr>
              <w:keepNext w:val="0"/>
              <w:keepLines w:val="0"/>
              <w:widowControl/>
              <w:suppressLineNumbers w:val="0"/>
              <w:bidi w:val="0"/>
              <w:jc w:val="left"/>
              <w:textAlignment w:val="bottom"/>
              <w:rPr>
                <w:rFonts w:hAnsi="宋体"/>
                <w:b/>
              </w:rPr>
            </w:pPr>
            <w:r>
              <w:rPr>
                <w:rFonts w:hint="default" w:ascii="Arial" w:hAnsi="Arial" w:eastAsia="宋体" w:cs="Arial"/>
                <w:kern w:val="0"/>
                <w:sz w:val="20"/>
                <w:szCs w:val="20"/>
                <w:lang w:val="en-US" w:eastAsia="zh-CN" w:bidi="ar"/>
              </w:rPr>
              <w:t>针对销售、采购、生产、存货及财务效率等具体业务场景，熟练完成数据采集、清洗、挖掘建模与可视化展示；能够独立撰写具有决策支持价值的财务大数据综合分析报告。</w:t>
            </w:r>
          </w:p>
        </w:tc>
        <w:tc>
          <w:tcPr>
            <w:tcW w:w="2849" w:type="dxa"/>
            <w:vAlign w:val="bottom"/>
          </w:tcPr>
          <w:p w14:paraId="1E9042E7">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hAnsi="宋体"/>
                <w:b/>
              </w:rPr>
            </w:pPr>
            <w:r>
              <w:rPr>
                <w:rFonts w:hint="default" w:ascii="Arial" w:hAnsi="Arial" w:eastAsia="宋体" w:cs="Arial"/>
                <w:kern w:val="0"/>
                <w:sz w:val="20"/>
                <w:szCs w:val="20"/>
                <w:lang w:val="en-US" w:eastAsia="zh-CN" w:bidi="ar"/>
              </w:rPr>
              <w:t>上机实操练习、期末综合实战大作业（数据模型验收与分析报告）</w:t>
            </w:r>
          </w:p>
        </w:tc>
      </w:tr>
      <w:tr w14:paraId="7ED6C1F0">
        <w:trPr>
          <w:trHeight w:val="567" w:hRule="atLeast"/>
          <w:jc w:val="center"/>
        </w:trPr>
        <w:tc>
          <w:tcPr>
            <w:tcW w:w="2847" w:type="dxa"/>
            <w:vAlign w:val="center"/>
          </w:tcPr>
          <w:p w14:paraId="446378E8">
            <w:pPr>
              <w:pStyle w:val="2"/>
              <w:spacing w:before="156" w:beforeLines="50" w:after="156" w:afterLines="50"/>
              <w:jc w:val="center"/>
              <w:rPr>
                <w:rFonts w:hAnsi="宋体"/>
              </w:rPr>
            </w:pPr>
            <w:r>
              <w:rPr>
                <w:rFonts w:hint="eastAsia" w:hAnsi="宋体"/>
              </w:rPr>
              <w:t>课程目标3</w:t>
            </w:r>
          </w:p>
        </w:tc>
        <w:tc>
          <w:tcPr>
            <w:tcW w:w="2849" w:type="dxa"/>
            <w:vAlign w:val="bottom"/>
          </w:tcPr>
          <w:p w14:paraId="372246C1">
            <w:pPr>
              <w:keepNext w:val="0"/>
              <w:keepLines w:val="0"/>
              <w:widowControl/>
              <w:suppressLineNumbers w:val="0"/>
              <w:bidi w:val="0"/>
              <w:jc w:val="left"/>
              <w:textAlignment w:val="bottom"/>
              <w:rPr>
                <w:rFonts w:hAnsi="宋体"/>
                <w:b/>
              </w:rPr>
            </w:pPr>
            <w:r>
              <w:rPr>
                <w:rFonts w:hint="default" w:ascii="Arial" w:hAnsi="Arial" w:eastAsia="宋体" w:cs="Arial"/>
                <w:kern w:val="0"/>
                <w:sz w:val="20"/>
                <w:szCs w:val="20"/>
                <w:lang w:val="en-US" w:eastAsia="zh-CN" w:bidi="ar"/>
              </w:rPr>
              <w:t>数据获取与处理过程中的数据保密意识、合规意识与会计职业道德操守；团队协作解决复杂商业问题的沟通统筹能力；面对新技术挑战的终身学习与探索态度。</w:t>
            </w:r>
          </w:p>
        </w:tc>
        <w:tc>
          <w:tcPr>
            <w:tcW w:w="2849" w:type="dxa"/>
            <w:vAlign w:val="bottom"/>
          </w:tcPr>
          <w:p w14:paraId="39013839">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hAnsi="宋体"/>
                <w:b/>
              </w:rPr>
            </w:pPr>
            <w:r>
              <w:rPr>
                <w:rFonts w:hint="default" w:ascii="Arial" w:hAnsi="Arial" w:eastAsia="宋体" w:cs="Arial"/>
                <w:kern w:val="0"/>
                <w:sz w:val="20"/>
                <w:szCs w:val="20"/>
                <w:lang w:val="en-US" w:eastAsia="zh-CN" w:bidi="ar"/>
              </w:rPr>
              <w:t>课堂案例讨论表现、平时考勤、期末综合项目分组汇报与答辩</w:t>
            </w:r>
          </w:p>
        </w:tc>
      </w:tr>
    </w:tbl>
    <w:p w14:paraId="1322C45C">
      <w:pPr>
        <w:widowControl/>
        <w:spacing w:before="156" w:beforeLines="50" w:after="156" w:afterLines="50"/>
        <w:ind w:firstLine="480" w:firstLineChars="200"/>
        <w:jc w:val="left"/>
        <w:rPr>
          <w:rFonts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37D3CBA6">
      <w:pPr>
        <w:widowControl/>
        <w:spacing w:before="156" w:beforeLines="50" w:after="156" w:afterLines="50"/>
        <w:ind w:firstLine="420" w:firstLineChars="200"/>
        <w:jc w:val="left"/>
        <w:rPr>
          <w:rFonts w:hint="eastAsia" w:ascii="黑体" w:hAnsi="黑体" w:eastAsia="宋体"/>
          <w:b/>
          <w:sz w:val="24"/>
          <w:szCs w:val="24"/>
          <w:lang w:eastAsia="zh-CN"/>
        </w:rPr>
      </w:pPr>
      <w:r>
        <w:rPr>
          <w:rFonts w:hint="eastAsia" w:ascii="宋体" w:hAnsi="宋体" w:eastAsia="宋体"/>
          <w:b/>
        </w:rPr>
        <w:t xml:space="preserve">1．评定方法 </w:t>
      </w:r>
    </w:p>
    <w:p w14:paraId="53386B0E">
      <w:pPr>
        <w:widowControl/>
        <w:spacing w:before="156" w:beforeLines="50" w:after="156" w:afterLines="50"/>
        <w:jc w:val="left"/>
        <w:rPr>
          <w:rFonts w:hint="eastAsia" w:ascii="宋体" w:hAnsi="宋体" w:eastAsia="宋体"/>
          <w:lang w:eastAsia="zh-CN"/>
        </w:rPr>
      </w:pPr>
      <w:r>
        <w:rPr>
          <w:rFonts w:hint="eastAsia" w:ascii="宋体" w:hAnsi="宋体" w:eastAsia="宋体"/>
        </w:rPr>
        <w:t>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p>
    <w:p w14:paraId="366FEA6D">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b/>
        </w:rPr>
        <w:t xml:space="preserve">2．课程目标的考核占比与达成度分析 </w:t>
      </w:r>
    </w:p>
    <w:p w14:paraId="7E81387A">
      <w:pPr>
        <w:widowControl/>
        <w:spacing w:before="156" w:beforeLines="50" w:after="156" w:afterLines="50"/>
        <w:ind w:firstLine="420" w:firstLineChars="200"/>
        <w:jc w:val="center"/>
        <w:rPr>
          <w:rFonts w:hint="eastAsia" w:ascii="宋体" w:hAnsi="宋体" w:eastAsia="宋体"/>
          <w:b/>
          <w:lang w:eastAsia="zh-CN"/>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ED2B442">
        <w:trPr>
          <w:jc w:val="center"/>
        </w:trPr>
        <w:tc>
          <w:tcPr>
            <w:tcW w:w="2122" w:type="dxa"/>
            <w:tcBorders>
              <w:tl2br w:val="single" w:color="auto" w:sz="4" w:space="0"/>
            </w:tcBorders>
            <w:vAlign w:val="center"/>
          </w:tcPr>
          <w:p w14:paraId="3E609B34">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B2EEF89">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vAlign w:val="center"/>
          </w:tcPr>
          <w:p w14:paraId="72A825D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vAlign w:val="center"/>
          </w:tcPr>
          <w:p w14:paraId="37C0CFD2">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7AF18AF8">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vAlign w:val="center"/>
          </w:tcPr>
          <w:p w14:paraId="1F6D4A93">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3C0D3A48">
        <w:trPr>
          <w:trHeight w:val="620" w:hRule="atLeast"/>
          <w:jc w:val="center"/>
        </w:trPr>
        <w:tc>
          <w:tcPr>
            <w:tcW w:w="2122" w:type="dxa"/>
            <w:vAlign w:val="bottom"/>
          </w:tcPr>
          <w:p w14:paraId="345A0D10">
            <w:pPr>
              <w:keepNext w:val="0"/>
              <w:keepLines w:val="0"/>
              <w:widowControl/>
              <w:suppressLineNumbers w:val="0"/>
              <w:bidi w:val="0"/>
              <w:jc w:val="left"/>
              <w:textAlignment w:val="bottom"/>
              <w:rPr>
                <w:rFonts w:ascii="宋体" w:hAnsi="宋体" w:eastAsia="宋体"/>
                <w:kern w:val="0"/>
                <w:szCs w:val="21"/>
              </w:rPr>
            </w:pPr>
            <w:r>
              <w:rPr>
                <w:rFonts w:hint="default" w:ascii="Arial" w:hAnsi="Arial" w:eastAsia="宋体" w:cs="Arial"/>
                <w:kern w:val="0"/>
                <w:sz w:val="20"/>
                <w:szCs w:val="20"/>
                <w:lang w:val="en-US" w:eastAsia="zh-CN" w:bidi="ar"/>
              </w:rPr>
              <w:t>课程目标1（理论与工具基础）</w:t>
            </w:r>
          </w:p>
        </w:tc>
        <w:tc>
          <w:tcPr>
            <w:tcW w:w="858" w:type="dxa"/>
            <w:vAlign w:val="bottom"/>
          </w:tcPr>
          <w:p w14:paraId="7DB3E46B">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30%</w:t>
            </w:r>
          </w:p>
        </w:tc>
        <w:tc>
          <w:tcPr>
            <w:tcW w:w="1134" w:type="dxa"/>
            <w:vAlign w:val="bottom"/>
          </w:tcPr>
          <w:p w14:paraId="794ED341">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50%</w:t>
            </w:r>
          </w:p>
        </w:tc>
        <w:tc>
          <w:tcPr>
            <w:tcW w:w="1134" w:type="dxa"/>
            <w:vAlign w:val="bottom"/>
          </w:tcPr>
          <w:p w14:paraId="600B6484">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30%</w:t>
            </w:r>
          </w:p>
        </w:tc>
        <w:tc>
          <w:tcPr>
            <w:tcW w:w="2627" w:type="dxa"/>
            <w:vMerge w:val="restart"/>
            <w:vAlign w:val="center"/>
          </w:tcPr>
          <w:p w14:paraId="301BF831">
            <w:pPr>
              <w:spacing w:before="156" w:beforeLines="50" w:after="156" w:afterLines="50"/>
              <w:rPr>
                <w:rFonts w:ascii="宋体" w:hAnsi="宋体" w:eastAsia="宋体"/>
                <w:kern w:val="0"/>
                <w:szCs w:val="21"/>
              </w:rPr>
            </w:pPr>
          </w:p>
        </w:tc>
      </w:tr>
      <w:tr w14:paraId="378A9999">
        <w:trPr>
          <w:trHeight w:val="679" w:hRule="atLeast"/>
          <w:jc w:val="center"/>
        </w:trPr>
        <w:tc>
          <w:tcPr>
            <w:tcW w:w="2122" w:type="dxa"/>
            <w:vAlign w:val="bottom"/>
          </w:tcPr>
          <w:p w14:paraId="6281A4C3">
            <w:pPr>
              <w:keepNext w:val="0"/>
              <w:keepLines w:val="0"/>
              <w:widowControl/>
              <w:suppressLineNumbers w:val="0"/>
              <w:bidi w:val="0"/>
              <w:jc w:val="left"/>
              <w:textAlignment w:val="bottom"/>
              <w:rPr>
                <w:rFonts w:ascii="宋体" w:hAnsi="宋体" w:eastAsia="宋体"/>
                <w:kern w:val="0"/>
                <w:szCs w:val="21"/>
              </w:rPr>
            </w:pPr>
            <w:r>
              <w:rPr>
                <w:rFonts w:hint="default" w:ascii="Arial" w:hAnsi="Arial" w:eastAsia="宋体" w:cs="Arial"/>
                <w:kern w:val="0"/>
                <w:sz w:val="20"/>
                <w:szCs w:val="20"/>
                <w:lang w:val="en-US" w:eastAsia="zh-CN" w:bidi="ar"/>
              </w:rPr>
              <w:t>课程目标2（业务建模与决策实操）</w:t>
            </w:r>
          </w:p>
        </w:tc>
        <w:tc>
          <w:tcPr>
            <w:tcW w:w="858" w:type="dxa"/>
            <w:vAlign w:val="bottom"/>
          </w:tcPr>
          <w:p w14:paraId="229AA70E">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50%</w:t>
            </w:r>
          </w:p>
        </w:tc>
        <w:tc>
          <w:tcPr>
            <w:tcW w:w="1134" w:type="dxa"/>
            <w:vAlign w:val="bottom"/>
          </w:tcPr>
          <w:p w14:paraId="2207923D">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50%</w:t>
            </w:r>
          </w:p>
        </w:tc>
        <w:tc>
          <w:tcPr>
            <w:tcW w:w="1134" w:type="dxa"/>
            <w:vAlign w:val="bottom"/>
          </w:tcPr>
          <w:p w14:paraId="1781F2F2">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50%</w:t>
            </w:r>
          </w:p>
        </w:tc>
        <w:tc>
          <w:tcPr>
            <w:tcW w:w="2627" w:type="dxa"/>
            <w:vMerge w:val="continue"/>
            <w:vAlign w:val="center"/>
          </w:tcPr>
          <w:p w14:paraId="6F51FE03">
            <w:pPr>
              <w:spacing w:before="156" w:beforeLines="50" w:after="156" w:afterLines="50"/>
              <w:rPr>
                <w:rFonts w:ascii="宋体" w:hAnsi="宋体" w:eastAsia="宋体"/>
                <w:kern w:val="0"/>
                <w:szCs w:val="21"/>
              </w:rPr>
            </w:pPr>
          </w:p>
        </w:tc>
      </w:tr>
      <w:tr w14:paraId="77998F3B">
        <w:trPr>
          <w:trHeight w:val="755" w:hRule="atLeast"/>
          <w:jc w:val="center"/>
        </w:trPr>
        <w:tc>
          <w:tcPr>
            <w:tcW w:w="2122" w:type="dxa"/>
            <w:vAlign w:val="bottom"/>
          </w:tcPr>
          <w:p w14:paraId="5B335A9F">
            <w:pPr>
              <w:keepNext w:val="0"/>
              <w:keepLines w:val="0"/>
              <w:widowControl/>
              <w:suppressLineNumbers w:val="0"/>
              <w:bidi w:val="0"/>
              <w:jc w:val="left"/>
              <w:textAlignment w:val="bottom"/>
              <w:rPr>
                <w:rFonts w:ascii="宋体" w:hAnsi="宋体" w:eastAsia="宋体"/>
                <w:kern w:val="0"/>
                <w:szCs w:val="21"/>
              </w:rPr>
            </w:pPr>
            <w:r>
              <w:rPr>
                <w:rFonts w:hint="default" w:ascii="Arial" w:hAnsi="Arial" w:eastAsia="宋体" w:cs="Arial"/>
                <w:kern w:val="0"/>
                <w:sz w:val="20"/>
                <w:szCs w:val="20"/>
                <w:lang w:val="en-US" w:eastAsia="zh-CN" w:bidi="ar"/>
              </w:rPr>
              <w:t>课程目标3（职业操守与综合品格）</w:t>
            </w:r>
          </w:p>
        </w:tc>
        <w:tc>
          <w:tcPr>
            <w:tcW w:w="858" w:type="dxa"/>
            <w:vAlign w:val="bottom"/>
          </w:tcPr>
          <w:p w14:paraId="5C287002">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20%</w:t>
            </w:r>
          </w:p>
        </w:tc>
        <w:tc>
          <w:tcPr>
            <w:tcW w:w="1134" w:type="dxa"/>
            <w:vAlign w:val="bottom"/>
          </w:tcPr>
          <w:p w14:paraId="165DEC4C">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0%</w:t>
            </w:r>
          </w:p>
        </w:tc>
        <w:tc>
          <w:tcPr>
            <w:tcW w:w="1134" w:type="dxa"/>
            <w:vAlign w:val="bottom"/>
          </w:tcPr>
          <w:p w14:paraId="2C3EE4D8">
            <w:pPr>
              <w:keepNext w:val="0"/>
              <w:keepLines w:val="0"/>
              <w:widowControl/>
              <w:suppressLineNumbers w:val="0"/>
              <w:bidi w:val="0"/>
              <w:jc w:val="right"/>
              <w:textAlignment w:val="bottom"/>
              <w:rPr>
                <w:rFonts w:ascii="宋体" w:hAnsi="宋体" w:eastAsia="宋体"/>
                <w:kern w:val="0"/>
                <w:szCs w:val="21"/>
              </w:rPr>
            </w:pPr>
            <w:r>
              <w:rPr>
                <w:rFonts w:hint="default" w:ascii="Arial" w:hAnsi="Arial" w:eastAsia="宋体" w:cs="Arial"/>
                <w:kern w:val="0"/>
                <w:sz w:val="20"/>
                <w:szCs w:val="20"/>
                <w:lang w:val="en-US" w:eastAsia="zh-CN" w:bidi="ar"/>
              </w:rPr>
              <w:t>20%</w:t>
            </w:r>
          </w:p>
        </w:tc>
        <w:tc>
          <w:tcPr>
            <w:tcW w:w="2627" w:type="dxa"/>
            <w:vMerge w:val="continue"/>
            <w:vAlign w:val="center"/>
          </w:tcPr>
          <w:p w14:paraId="03DE0605">
            <w:pPr>
              <w:spacing w:before="156" w:beforeLines="50" w:after="156" w:afterLines="50"/>
              <w:rPr>
                <w:rFonts w:ascii="宋体" w:hAnsi="宋体" w:eastAsia="宋体"/>
                <w:kern w:val="0"/>
                <w:szCs w:val="21"/>
              </w:rPr>
            </w:pPr>
          </w:p>
        </w:tc>
      </w:tr>
    </w:tbl>
    <w:p w14:paraId="5DB14753">
      <w:pPr>
        <w:widowControl/>
        <w:spacing w:before="156" w:beforeLines="50" w:after="156" w:afterLines="50"/>
        <w:ind w:firstLine="480" w:firstLineChars="200"/>
        <w:jc w:val="left"/>
        <w:rPr>
          <w:rFonts w:hint="eastAsia" w:ascii="黑体" w:hAnsi="黑体" w:eastAsia="黑体"/>
          <w:b/>
          <w:sz w:val="24"/>
          <w:szCs w:val="24"/>
        </w:rPr>
      </w:pPr>
    </w:p>
    <w:p w14:paraId="59750612">
      <w:pPr>
        <w:widowControl/>
        <w:spacing w:before="156" w:beforeLines="50" w:after="156" w:afterLines="50"/>
        <w:ind w:firstLine="480" w:firstLineChars="200"/>
        <w:jc w:val="left"/>
        <w:rPr>
          <w:rFonts w:hint="eastAsia" w:ascii="黑体" w:hAnsi="黑体" w:eastAsia="黑体"/>
          <w:b/>
          <w:sz w:val="24"/>
          <w:szCs w:val="24"/>
        </w:rPr>
      </w:pPr>
      <w:r>
        <w:rPr>
          <w:rFonts w:hint="eastAsia" w:ascii="黑体" w:hAnsi="黑体" w:eastAsia="黑体"/>
          <w:b/>
          <w:sz w:val="24"/>
          <w:szCs w:val="24"/>
          <w:lang w:eastAsia="zh-CN"/>
        </w:rPr>
        <w:t>（</w:t>
      </w:r>
      <w:r>
        <w:rPr>
          <w:rFonts w:hint="eastAsia" w:ascii="黑体" w:hAnsi="黑体" w:eastAsia="黑体"/>
          <w:b/>
          <w:sz w:val="24"/>
          <w:szCs w:val="24"/>
          <w:lang w:val="en-US" w:eastAsia="zh-CN"/>
        </w:rPr>
        <w:t>三</w:t>
      </w:r>
      <w:r>
        <w:rPr>
          <w:rFonts w:hint="eastAsia" w:ascii="黑体" w:hAnsi="黑体" w:eastAsia="黑体"/>
          <w:b/>
          <w:sz w:val="24"/>
          <w:szCs w:val="24"/>
          <w:lang w:eastAsia="zh-CN"/>
        </w:rPr>
        <w:t>）</w:t>
      </w:r>
      <w:r>
        <w:rPr>
          <w:rFonts w:hint="eastAsia" w:ascii="黑体" w:hAnsi="黑体" w:eastAsia="黑体"/>
          <w:b/>
          <w:sz w:val="24"/>
          <w:szCs w:val="24"/>
        </w:rPr>
        <w:t>评分标准 （小四号黑体）</w:t>
      </w:r>
    </w:p>
    <w:tbl>
      <w:tblPr>
        <w:tblStyle w:val="7"/>
        <w:tblpPr w:leftFromText="180" w:rightFromText="180" w:vertAnchor="text" w:horzAnchor="page" w:tblpX="1083" w:tblpY="517"/>
        <w:tblOverlap w:val="never"/>
        <w:tblW w:w="10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0CA25AA8">
        <w:trPr>
          <w:trHeight w:val="454" w:hRule="atLeast"/>
          <w:tblHeader/>
        </w:trPr>
        <w:tc>
          <w:tcPr>
            <w:tcW w:w="993" w:type="dxa"/>
            <w:vMerge w:val="restart"/>
            <w:tcBorders>
              <w:top w:val="single" w:color="auto" w:sz="4" w:space="0"/>
              <w:left w:val="single" w:color="auto" w:sz="4" w:space="0"/>
              <w:right w:val="single" w:color="auto" w:sz="4" w:space="0"/>
            </w:tcBorders>
            <w:vAlign w:val="center"/>
          </w:tcPr>
          <w:p w14:paraId="0993BA75">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083BD94">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1BE0FB08">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1E52727E">
        <w:trPr>
          <w:trHeight w:val="454" w:hRule="atLeast"/>
          <w:tblHeader/>
        </w:trPr>
        <w:tc>
          <w:tcPr>
            <w:tcW w:w="993" w:type="dxa"/>
            <w:vMerge w:val="continue"/>
            <w:tcBorders>
              <w:left w:val="single" w:color="auto" w:sz="4" w:space="0"/>
              <w:right w:val="single" w:color="auto" w:sz="4" w:space="0"/>
            </w:tcBorders>
            <w:vAlign w:val="center"/>
          </w:tcPr>
          <w:p w14:paraId="1FAE637A">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E056E0D">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72AB1126">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5D5DD32C">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6AEDB7AA">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6306438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6654A7E8">
        <w:trPr>
          <w:trHeight w:val="449" w:hRule="atLeast"/>
          <w:tblHeader/>
        </w:trPr>
        <w:tc>
          <w:tcPr>
            <w:tcW w:w="993" w:type="dxa"/>
            <w:vMerge w:val="continue"/>
            <w:tcBorders>
              <w:left w:val="single" w:color="auto" w:sz="4" w:space="0"/>
              <w:right w:val="single" w:color="auto" w:sz="4" w:space="0"/>
            </w:tcBorders>
            <w:vAlign w:val="center"/>
          </w:tcPr>
          <w:p w14:paraId="068A622F">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62D6A1D">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4191FD57">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17C6F5">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570E89D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43A77FB">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FD4ADFA">
        <w:trPr>
          <w:trHeight w:val="461" w:hRule="atLeast"/>
          <w:tblHeader/>
        </w:trPr>
        <w:tc>
          <w:tcPr>
            <w:tcW w:w="993" w:type="dxa"/>
            <w:vMerge w:val="continue"/>
            <w:tcBorders>
              <w:left w:val="single" w:color="auto" w:sz="4" w:space="0"/>
              <w:bottom w:val="single" w:color="auto" w:sz="4" w:space="0"/>
              <w:right w:val="single" w:color="auto" w:sz="4" w:space="0"/>
            </w:tcBorders>
            <w:vAlign w:val="center"/>
          </w:tcPr>
          <w:p w14:paraId="283475FA">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887E8FD">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2D8B6306">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24468AA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3F936E71">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1E993327">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49479199">
        <w:trPr>
          <w:trHeight w:val="414" w:hRule="atLeast"/>
        </w:trPr>
        <w:tc>
          <w:tcPr>
            <w:tcW w:w="993" w:type="dxa"/>
            <w:tcBorders>
              <w:top w:val="single" w:color="auto" w:sz="4" w:space="0"/>
              <w:left w:val="single" w:color="auto" w:sz="4" w:space="0"/>
              <w:bottom w:val="single" w:color="auto" w:sz="4" w:space="0"/>
              <w:right w:val="single" w:color="auto" w:sz="4" w:space="0"/>
            </w:tcBorders>
            <w:vAlign w:val="bottom"/>
          </w:tcPr>
          <w:p w14:paraId="13F4ECB6">
            <w:pPr>
              <w:keepNext w:val="0"/>
              <w:keepLines w:val="0"/>
              <w:widowControl/>
              <w:suppressLineNumbers w:val="0"/>
              <w:bidi w:val="0"/>
              <w:jc w:val="left"/>
              <w:textAlignment w:val="bottom"/>
              <w:rPr>
                <w:rFonts w:ascii="宋体" w:hAnsi="宋体" w:eastAsia="宋体"/>
                <w:b/>
                <w:bCs/>
                <w:kern w:val="0"/>
                <w:szCs w:val="21"/>
              </w:rPr>
            </w:pPr>
            <w:r>
              <w:rPr>
                <w:rFonts w:hint="default" w:ascii="Arial" w:hAnsi="Arial" w:eastAsia="宋体" w:cs="Arial"/>
                <w:kern w:val="0"/>
                <w:sz w:val="20"/>
                <w:szCs w:val="20"/>
                <w:lang w:val="en-US" w:eastAsia="zh-CN" w:bidi="ar"/>
              </w:rPr>
              <w:t>课程目标1（理论与工具基础）</w:t>
            </w:r>
          </w:p>
        </w:tc>
        <w:tc>
          <w:tcPr>
            <w:tcW w:w="1984" w:type="dxa"/>
            <w:tcBorders>
              <w:top w:val="single" w:color="auto" w:sz="4" w:space="0"/>
              <w:left w:val="single" w:color="auto" w:sz="4" w:space="0"/>
              <w:bottom w:val="single" w:color="auto" w:sz="4" w:space="0"/>
              <w:right w:val="single" w:color="auto" w:sz="4" w:space="0"/>
            </w:tcBorders>
            <w:vAlign w:val="bottom"/>
          </w:tcPr>
          <w:p w14:paraId="6E0F3E52">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深刻掌握财务大数据的核心理论，能熟练、准确、灵活地运用各类数据分析工具（如轻分析平台、MySQL等）解决复杂基础问题，底层逻辑清晰。</w:t>
            </w:r>
          </w:p>
        </w:tc>
        <w:tc>
          <w:tcPr>
            <w:tcW w:w="1984" w:type="dxa"/>
            <w:tcBorders>
              <w:top w:val="single" w:color="auto" w:sz="4" w:space="0"/>
              <w:left w:val="single" w:color="auto" w:sz="4" w:space="0"/>
              <w:bottom w:val="single" w:color="auto" w:sz="4" w:space="0"/>
              <w:right w:val="single" w:color="auto" w:sz="4" w:space="0"/>
            </w:tcBorders>
            <w:vAlign w:val="bottom"/>
          </w:tcPr>
          <w:p w14:paraId="0298E908">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较好地掌握财务大数据的基本理论，能较为熟练地运用分析工具解决常见数据查询与提取问题，偶有微小操作瑕疵。</w:t>
            </w:r>
          </w:p>
        </w:tc>
        <w:tc>
          <w:tcPr>
            <w:tcW w:w="1843" w:type="dxa"/>
            <w:tcBorders>
              <w:top w:val="single" w:color="auto" w:sz="4" w:space="0"/>
              <w:left w:val="single" w:color="auto" w:sz="4" w:space="0"/>
              <w:bottom w:val="single" w:color="auto" w:sz="4" w:space="0"/>
              <w:right w:val="single" w:color="auto" w:sz="4" w:space="0"/>
            </w:tcBorders>
            <w:vAlign w:val="bottom"/>
          </w:tcPr>
          <w:p w14:paraId="10437DE7">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基本掌握财务大数据的基础理论，能够按步骤使用数据分析工具进行常规操作，但在复杂逻辑理解或工具独立应用上存在一定欠缺。</w:t>
            </w:r>
          </w:p>
        </w:tc>
        <w:tc>
          <w:tcPr>
            <w:tcW w:w="1779" w:type="dxa"/>
            <w:tcBorders>
              <w:top w:val="single" w:color="auto" w:sz="4" w:space="0"/>
              <w:left w:val="single" w:color="auto" w:sz="4" w:space="0"/>
              <w:bottom w:val="single" w:color="auto" w:sz="4" w:space="0"/>
              <w:right w:val="single" w:color="auto" w:sz="4" w:space="0"/>
            </w:tcBorders>
            <w:vAlign w:val="bottom"/>
          </w:tcPr>
          <w:p w14:paraId="31877225">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勉强掌握财务大数据的基础概念，只能在指导下按固定步骤完成极简单的工具操作，理论理解不够深入，存在较多基础错误。</w:t>
            </w:r>
          </w:p>
        </w:tc>
        <w:tc>
          <w:tcPr>
            <w:tcW w:w="1779" w:type="dxa"/>
            <w:tcBorders>
              <w:top w:val="single" w:color="auto" w:sz="4" w:space="0"/>
              <w:left w:val="single" w:color="auto" w:sz="4" w:space="0"/>
              <w:bottom w:val="single" w:color="auto" w:sz="4" w:space="0"/>
              <w:right w:val="single" w:color="auto" w:sz="4" w:space="0"/>
            </w:tcBorders>
            <w:vAlign w:val="bottom"/>
          </w:tcPr>
          <w:p w14:paraId="6CC8FEFB">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未能掌握大数据基础概念与理论，概念混淆不清，无法独立完成基础工具的常规操作。</w:t>
            </w:r>
          </w:p>
        </w:tc>
      </w:tr>
      <w:tr w14:paraId="3B9C569A">
        <w:trPr>
          <w:trHeight w:val="414" w:hRule="atLeast"/>
        </w:trPr>
        <w:tc>
          <w:tcPr>
            <w:tcW w:w="993" w:type="dxa"/>
            <w:tcBorders>
              <w:top w:val="single" w:color="auto" w:sz="4" w:space="0"/>
              <w:left w:val="single" w:color="auto" w:sz="4" w:space="0"/>
              <w:bottom w:val="single" w:color="auto" w:sz="4" w:space="0"/>
              <w:right w:val="single" w:color="auto" w:sz="4" w:space="0"/>
            </w:tcBorders>
            <w:vAlign w:val="bottom"/>
          </w:tcPr>
          <w:p w14:paraId="000D5E15">
            <w:pPr>
              <w:keepNext w:val="0"/>
              <w:keepLines w:val="0"/>
              <w:widowControl/>
              <w:suppressLineNumbers w:val="0"/>
              <w:bidi w:val="0"/>
              <w:jc w:val="left"/>
              <w:textAlignment w:val="bottom"/>
              <w:rPr>
                <w:rFonts w:ascii="宋体" w:hAnsi="宋体" w:eastAsia="宋体"/>
                <w:b/>
                <w:bCs/>
                <w:kern w:val="0"/>
                <w:szCs w:val="21"/>
              </w:rPr>
            </w:pPr>
            <w:r>
              <w:rPr>
                <w:rFonts w:hint="default" w:ascii="Arial" w:hAnsi="Arial" w:eastAsia="宋体" w:cs="Arial"/>
                <w:kern w:val="0"/>
                <w:sz w:val="20"/>
                <w:szCs w:val="20"/>
                <w:lang w:val="en-US" w:eastAsia="zh-CN" w:bidi="ar"/>
              </w:rPr>
              <w:t>课程目标2（业务建模与实操）</w:t>
            </w:r>
          </w:p>
        </w:tc>
        <w:tc>
          <w:tcPr>
            <w:tcW w:w="1984" w:type="dxa"/>
            <w:tcBorders>
              <w:top w:val="single" w:color="auto" w:sz="4" w:space="0"/>
              <w:left w:val="single" w:color="auto" w:sz="4" w:space="0"/>
              <w:bottom w:val="single" w:color="auto" w:sz="4" w:space="0"/>
              <w:right w:val="single" w:color="auto" w:sz="4" w:space="0"/>
            </w:tcBorders>
            <w:vAlign w:val="bottom"/>
          </w:tcPr>
          <w:p w14:paraId="50FD6626">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能极具创造性地针对各类业务场景构建大数据模型，数据处理精准高效，图表专业美观；分析报告逻辑严密、洞察深刻，对决策有极强支撑作用。</w:t>
            </w:r>
          </w:p>
        </w:tc>
        <w:tc>
          <w:tcPr>
            <w:tcW w:w="1984" w:type="dxa"/>
            <w:tcBorders>
              <w:top w:val="single" w:color="auto" w:sz="4" w:space="0"/>
              <w:left w:val="single" w:color="auto" w:sz="4" w:space="0"/>
              <w:bottom w:val="single" w:color="auto" w:sz="4" w:space="0"/>
              <w:right w:val="single" w:color="auto" w:sz="4" w:space="0"/>
            </w:tcBorders>
            <w:vAlign w:val="bottom"/>
          </w:tcPr>
          <w:p w14:paraId="680DED48">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能独立针对具体场景构建有效的数据分析模型，数据清洗与处理过程规范，图表清晰；分析报告具有较好的针对性和决策参考价值。</w:t>
            </w:r>
          </w:p>
        </w:tc>
        <w:tc>
          <w:tcPr>
            <w:tcW w:w="1843" w:type="dxa"/>
            <w:tcBorders>
              <w:top w:val="single" w:color="auto" w:sz="4" w:space="0"/>
              <w:left w:val="single" w:color="auto" w:sz="4" w:space="0"/>
              <w:bottom w:val="single" w:color="auto" w:sz="4" w:space="0"/>
              <w:right w:val="single" w:color="auto" w:sz="4" w:space="0"/>
            </w:tcBorders>
            <w:vAlign w:val="bottom"/>
          </w:tcPr>
          <w:p w14:paraId="3D89B5D4">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基本能够针对常规场景建立简单模型并完成数据处理，能生成基本的图表和分析说明，但数据挖掘缺乏深度，决策建议较为表面。</w:t>
            </w:r>
          </w:p>
        </w:tc>
        <w:tc>
          <w:tcPr>
            <w:tcW w:w="1779" w:type="dxa"/>
            <w:tcBorders>
              <w:top w:val="single" w:color="auto" w:sz="4" w:space="0"/>
              <w:left w:val="single" w:color="auto" w:sz="4" w:space="0"/>
              <w:bottom w:val="single" w:color="auto" w:sz="4" w:space="0"/>
              <w:right w:val="single" w:color="auto" w:sz="4" w:space="0"/>
            </w:tcBorders>
            <w:vAlign w:val="bottom"/>
          </w:tcPr>
          <w:p w14:paraId="7877A330">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只能完成非常基础的数据分析任务，模型搭建或数据处理存在明显漏洞；图表单一，分析报告缺乏逻辑关联，勉强得出结论。</w:t>
            </w:r>
          </w:p>
        </w:tc>
        <w:tc>
          <w:tcPr>
            <w:tcW w:w="1779" w:type="dxa"/>
            <w:tcBorders>
              <w:top w:val="single" w:color="auto" w:sz="4" w:space="0"/>
              <w:left w:val="single" w:color="auto" w:sz="4" w:space="0"/>
              <w:bottom w:val="single" w:color="auto" w:sz="4" w:space="0"/>
              <w:right w:val="single" w:color="auto" w:sz="4" w:space="0"/>
            </w:tcBorders>
            <w:vAlign w:val="bottom"/>
          </w:tcPr>
          <w:p w14:paraId="7205652D">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无法针对业务场景建立有效模型，数据处理错误频出或无法完成；报告结构混乱，毫无商业逻辑与决策参考价值。</w:t>
            </w:r>
          </w:p>
        </w:tc>
      </w:tr>
      <w:tr w14:paraId="4DC6C199">
        <w:trPr>
          <w:trHeight w:val="414" w:hRule="atLeast"/>
        </w:trPr>
        <w:tc>
          <w:tcPr>
            <w:tcW w:w="993" w:type="dxa"/>
            <w:tcBorders>
              <w:top w:val="single" w:color="auto" w:sz="4" w:space="0"/>
              <w:left w:val="single" w:color="auto" w:sz="4" w:space="0"/>
              <w:bottom w:val="single" w:color="auto" w:sz="4" w:space="0"/>
              <w:right w:val="single" w:color="auto" w:sz="4" w:space="0"/>
            </w:tcBorders>
            <w:vAlign w:val="bottom"/>
          </w:tcPr>
          <w:p w14:paraId="7FEFB912">
            <w:pPr>
              <w:keepNext w:val="0"/>
              <w:keepLines w:val="0"/>
              <w:widowControl/>
              <w:suppressLineNumbers w:val="0"/>
              <w:bidi w:val="0"/>
              <w:jc w:val="left"/>
              <w:textAlignment w:val="bottom"/>
              <w:rPr>
                <w:rFonts w:ascii="宋体" w:hAnsi="宋体" w:eastAsia="宋体"/>
                <w:b/>
                <w:bCs/>
                <w:kern w:val="0"/>
                <w:szCs w:val="21"/>
              </w:rPr>
            </w:pPr>
            <w:r>
              <w:rPr>
                <w:rFonts w:hint="default" w:ascii="Arial" w:hAnsi="Arial" w:eastAsia="宋体" w:cs="Arial"/>
                <w:kern w:val="0"/>
                <w:sz w:val="20"/>
                <w:szCs w:val="20"/>
                <w:lang w:val="en-US" w:eastAsia="zh-CN" w:bidi="ar"/>
              </w:rPr>
              <w:t>课程目标3（操守与综合品格）</w:t>
            </w:r>
          </w:p>
        </w:tc>
        <w:tc>
          <w:tcPr>
            <w:tcW w:w="1984" w:type="dxa"/>
            <w:tcBorders>
              <w:top w:val="single" w:color="auto" w:sz="4" w:space="0"/>
              <w:left w:val="single" w:color="auto" w:sz="4" w:space="0"/>
              <w:bottom w:val="single" w:color="auto" w:sz="4" w:space="0"/>
              <w:right w:val="single" w:color="auto" w:sz="4" w:space="0"/>
            </w:tcBorders>
            <w:vAlign w:val="bottom"/>
          </w:tcPr>
          <w:p w14:paraId="149076CF">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在实践中表现出极强的数据合规意识与会计职业道德；在团队协作中起核心引领作用，沟通高效；具有极强的自主探索与终身学习热情。</w:t>
            </w:r>
          </w:p>
        </w:tc>
        <w:tc>
          <w:tcPr>
            <w:tcW w:w="1984" w:type="dxa"/>
            <w:tcBorders>
              <w:top w:val="single" w:color="auto" w:sz="4" w:space="0"/>
              <w:left w:val="single" w:color="auto" w:sz="4" w:space="0"/>
              <w:bottom w:val="single" w:color="auto" w:sz="4" w:space="0"/>
              <w:right w:val="single" w:color="auto" w:sz="4" w:space="0"/>
            </w:tcBorders>
            <w:vAlign w:val="bottom"/>
          </w:tcPr>
          <w:p w14:paraId="2E824A94">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具备良好的数据合规与职业道德规范意识；能够积极参与团队协作并出色完成主要任务；有较强的主动学习与解决新问题的意识。</w:t>
            </w:r>
          </w:p>
        </w:tc>
        <w:tc>
          <w:tcPr>
            <w:tcW w:w="1843" w:type="dxa"/>
            <w:tcBorders>
              <w:top w:val="single" w:color="auto" w:sz="4" w:space="0"/>
              <w:left w:val="single" w:color="auto" w:sz="4" w:space="0"/>
              <w:bottom w:val="single" w:color="auto" w:sz="4" w:space="0"/>
              <w:right w:val="single" w:color="auto" w:sz="4" w:space="0"/>
            </w:tcBorders>
            <w:vAlign w:val="bottom"/>
          </w:tcPr>
          <w:p w14:paraId="2CC64609">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基本遵守数据安全与合规要求；能在团队中较好地配合完成分配的基础任务；具备一定的学习意愿。</w:t>
            </w:r>
          </w:p>
        </w:tc>
        <w:tc>
          <w:tcPr>
            <w:tcW w:w="1779" w:type="dxa"/>
            <w:tcBorders>
              <w:top w:val="single" w:color="auto" w:sz="4" w:space="0"/>
              <w:left w:val="single" w:color="auto" w:sz="4" w:space="0"/>
              <w:bottom w:val="single" w:color="auto" w:sz="4" w:space="0"/>
              <w:right w:val="single" w:color="auto" w:sz="4" w:space="0"/>
            </w:tcBorders>
            <w:vAlign w:val="bottom"/>
          </w:tcPr>
          <w:p w14:paraId="5EEE278E">
            <w:pPr>
              <w:keepNext w:val="0"/>
              <w:keepLines w:val="0"/>
              <w:widowControl/>
              <w:suppressLineNumbers w:val="0"/>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勉强符合数据合规底线；团队协作参与度较低，缺乏主动沟通，较为被动地完成任务；缺乏主动探索新技术的意识。</w:t>
            </w:r>
          </w:p>
        </w:tc>
        <w:tc>
          <w:tcPr>
            <w:tcW w:w="1779" w:type="dxa"/>
            <w:tcBorders>
              <w:top w:val="single" w:color="auto" w:sz="4" w:space="0"/>
              <w:left w:val="single" w:color="auto" w:sz="4" w:space="0"/>
              <w:bottom w:val="single" w:color="auto" w:sz="4" w:space="0"/>
              <w:right w:val="single" w:color="auto" w:sz="4" w:space="0"/>
            </w:tcBorders>
            <w:vAlign w:val="bottom"/>
          </w:tcPr>
          <w:p w14:paraId="69884080">
            <w:pPr>
              <w:keepNext w:val="0"/>
              <w:keepLines w:val="0"/>
              <w:widowControl/>
              <w:suppressLineNumbers w:val="0"/>
              <w:pBdr>
                <w:top w:val="none" w:color="auto" w:sz="0" w:space="0"/>
                <w:left w:val="none" w:color="auto" w:sz="0" w:space="0"/>
                <w:bottom w:val="none" w:color="auto" w:sz="0" w:space="0"/>
                <w:right w:val="none" w:color="auto" w:sz="0" w:space="0"/>
              </w:pBdr>
              <w:bidi w:val="0"/>
              <w:jc w:val="left"/>
              <w:textAlignment w:val="bottom"/>
              <w:rPr>
                <w:rFonts w:ascii="宋体" w:hAnsi="宋体" w:eastAsia="宋体"/>
                <w:szCs w:val="21"/>
              </w:rPr>
            </w:pPr>
            <w:r>
              <w:rPr>
                <w:rFonts w:hint="default" w:ascii="Arial" w:hAnsi="Arial" w:eastAsia="宋体" w:cs="Arial"/>
                <w:kern w:val="0"/>
                <w:sz w:val="20"/>
                <w:szCs w:val="20"/>
                <w:lang w:val="en-US" w:eastAsia="zh-CN" w:bidi="ar"/>
              </w:rPr>
              <w:t>存在违反数据保密合规或学术诚信的行为；完全脱离团队协作，拒绝承担任务；缺乏基本的职业操守与学习态度。</w:t>
            </w:r>
          </w:p>
        </w:tc>
      </w:tr>
    </w:tbl>
    <w:p w14:paraId="6E1781A1">
      <w:pPr>
        <w:widowControl/>
        <w:numPr>
          <w:ilvl w:val="0"/>
          <w:numId w:val="0"/>
        </w:numPr>
        <w:spacing w:before="156" w:beforeLines="50" w:after="156" w:afterLines="50"/>
        <w:jc w:val="left"/>
        <w:rPr>
          <w:rFonts w:hint="eastAsia" w:ascii="宋体" w:hAnsi="宋体" w:eastAsia="宋体"/>
          <w:szCs w:val="21"/>
        </w:rPr>
      </w:pPr>
    </w:p>
    <w:p w14:paraId="1FEE686B">
      <w:pPr>
        <w:widowControl/>
        <w:jc w:val="left"/>
        <w:rPr>
          <w:rFonts w:ascii="宋体" w:hAnsi="宋体" w:eastAsia="宋体"/>
        </w:rPr>
      </w:pPr>
    </w:p>
    <w:sectPr>
      <w:pgSz w:w="11906" w:h="16838"/>
      <w:pgMar w:top="1440" w:right="1800" w:bottom="1440" w:left="22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sans-seri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TimesNewRomanPSMT">
    <w:panose1 w:val="02020503050405090304"/>
    <w:charset w:val="80"/>
    <w:family w:val="auto"/>
    <w:pitch w:val="default"/>
    <w:sig w:usb0="E0000AFF" w:usb1="0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A400B"/>
    <w:rsid w:val="000F054A"/>
    <w:rsid w:val="001E5724"/>
    <w:rsid w:val="00242673"/>
    <w:rsid w:val="00285327"/>
    <w:rsid w:val="002A7568"/>
    <w:rsid w:val="00313A87"/>
    <w:rsid w:val="003206BD"/>
    <w:rsid w:val="00322986"/>
    <w:rsid w:val="0034254B"/>
    <w:rsid w:val="0038665C"/>
    <w:rsid w:val="004070CF"/>
    <w:rsid w:val="00443C38"/>
    <w:rsid w:val="004F004B"/>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D7163"/>
    <w:rsid w:val="00A03BBD"/>
    <w:rsid w:val="00A61EFD"/>
    <w:rsid w:val="00AA4570"/>
    <w:rsid w:val="00AA630A"/>
    <w:rsid w:val="00AE3D1A"/>
    <w:rsid w:val="00B03909"/>
    <w:rsid w:val="00B10760"/>
    <w:rsid w:val="00B40ECD"/>
    <w:rsid w:val="00B47312"/>
    <w:rsid w:val="00B47E6E"/>
    <w:rsid w:val="00BA23F0"/>
    <w:rsid w:val="00C00798"/>
    <w:rsid w:val="00C33E03"/>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232A511F"/>
    <w:rsid w:val="431A785D"/>
    <w:rsid w:val="5E9FB20C"/>
    <w:rsid w:val="6FE7C9CE"/>
    <w:rsid w:val="7FF7B354"/>
    <w:rsid w:val="9DFFDFFA"/>
    <w:rsid w:val="F1FE0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2"/>
    <w:uiPriority w:val="99"/>
    <w:rPr>
      <w:rFonts w:ascii="宋体" w:hAnsi="Courier New" w:eastAsia="宋体" w:cs="Times New Roman"/>
      <w:szCs w:val="20"/>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14</Pages>
  <Words>257</Words>
  <Characters>1469</Characters>
  <Lines>12</Lines>
  <Paragraphs>3</Paragraphs>
  <TotalTime>15</TotalTime>
  <ScaleCrop>false</ScaleCrop>
  <LinksUpToDate>false</LinksUpToDate>
  <CharactersWithSpaces>1723</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2020-12-09T00:33:00Z</dcterms:created>
  <dc:creator>Windows User</dc:creator>
  <cp:lastModifiedBy>陈冬宇</cp:lastModifiedBy>
  <cp:lastPrinted>2020-12-24T23:17:00Z</cp:lastPrinted>
  <dcterms:modified xsi:type="dcterms:W3CDTF">2026-03-28T16:09:42Z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26B1660A07D12CFA467AC769FD0667D3_42</vt:lpwstr>
  </property>
</Properties>
</file>