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《</w:t>
      </w:r>
      <w:bookmarkStart w:id="0" w:name="OLE_LINK1"/>
      <w:r>
        <w:rPr>
          <w:rFonts w:hint="eastAsia" w:ascii="黑体" w:hAnsi="黑体" w:eastAsia="黑体"/>
          <w:sz w:val="32"/>
          <w:szCs w:val="32"/>
        </w:rPr>
        <w:t>统计与计量经济学</w:t>
      </w:r>
      <w:bookmarkEnd w:id="0"/>
      <w:r>
        <w:rPr>
          <w:rFonts w:hint="eastAsia" w:ascii="黑体" w:hAnsi="黑体" w:eastAsia="黑体"/>
          <w:sz w:val="32"/>
          <w:szCs w:val="32"/>
        </w:rPr>
        <w:t>》课程教学大纲</w:t>
      </w:r>
    </w:p>
    <w:p>
      <w:pPr>
        <w:pStyle w:val="2"/>
        <w:spacing w:before="156" w:beforeLines="50" w:after="156" w:afterLines="50"/>
        <w:ind w:firstLine="562" w:firstLineChars="200"/>
        <w:jc w:val="left"/>
        <w:rPr>
          <w:rFonts w:hAnsi="宋体" w:cs="宋体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一、课程基本信息</w:t>
      </w:r>
    </w:p>
    <w:tbl>
      <w:tblPr>
        <w:tblStyle w:val="7"/>
        <w:tblW w:w="869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3685"/>
        <w:gridCol w:w="1134"/>
        <w:gridCol w:w="27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ascii="宋体" w:hAnsi="宋体" w:eastAsia="宋体"/>
                <w:b/>
                <w:bCs/>
              </w:rPr>
            </w:pPr>
            <w:r>
              <w:rPr>
                <w:rFonts w:ascii="宋体" w:hAnsi="宋体" w:eastAsia="宋体"/>
                <w:b/>
                <w:bCs/>
              </w:rPr>
              <w:t>Statistics and Econometrics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>
            <w:pPr>
              <w:spacing w:before="156" w:beforeLines="50" w:after="156" w:afterLines="50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BUAD3005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专业必修课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本科生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4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>
            <w:pPr>
              <w:spacing w:before="156" w:beforeLines="50" w:after="156" w:afterLines="50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顾乾坤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2024.9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>
            <w:pPr>
              <w:spacing w:before="156" w:beforeLines="50" w:after="156" w:afterLines="50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《计量经济学导论现代观点》（第六版）（美）伍德里奇，中国人民大学出版社</w:t>
            </w:r>
          </w:p>
        </w:tc>
      </w:tr>
    </w:tbl>
    <w:p>
      <w:pPr>
        <w:pStyle w:val="2"/>
        <w:spacing w:before="156" w:beforeLines="50" w:after="156" w:afterLines="50"/>
        <w:ind w:firstLine="562" w:firstLineChars="200"/>
        <w:rPr>
          <w:rFonts w:hAnsi="宋体" w:cs="宋体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二、课程目标</w:t>
      </w:r>
    </w:p>
    <w:p>
      <w:pPr>
        <w:pStyle w:val="2"/>
        <w:spacing w:before="156" w:beforeLines="50" w:after="156" w:afterLines="50"/>
        <w:ind w:firstLine="480" w:firstLineChars="200"/>
        <w:rPr>
          <w:rFonts w:ascii="黑体" w:hAnsi="黑体" w:eastAsia="黑体" w:cs="宋体"/>
          <w:b/>
          <w:sz w:val="24"/>
          <w:szCs w:val="24"/>
        </w:rPr>
      </w:pPr>
      <w:r>
        <w:rPr>
          <w:rFonts w:hint="eastAsia" w:ascii="黑体" w:hAnsi="黑体" w:eastAsia="黑体" w:cs="宋体"/>
          <w:sz w:val="24"/>
          <w:szCs w:val="24"/>
        </w:rPr>
        <w:t>（一）</w:t>
      </w:r>
      <w:r>
        <w:rPr>
          <w:rFonts w:hint="eastAsia" w:ascii="黑体" w:hAnsi="黑体" w:eastAsia="黑体" w:cs="宋体"/>
          <w:b/>
          <w:sz w:val="24"/>
          <w:szCs w:val="24"/>
        </w:rPr>
        <w:t>总体目标：</w:t>
      </w:r>
    </w:p>
    <w:p>
      <w:pPr>
        <w:pStyle w:val="2"/>
        <w:spacing w:before="156" w:beforeLines="50" w:after="156" w:afterLines="50"/>
        <w:ind w:firstLine="420" w:firstLineChars="200"/>
        <w:rPr>
          <w:rFonts w:hAnsi="宋体" w:cs="宋体"/>
        </w:rPr>
      </w:pPr>
      <w:r>
        <w:rPr>
          <w:rFonts w:hint="eastAsia" w:hAnsi="宋体" w:cs="宋体"/>
        </w:rPr>
        <w:t>本课程有如下三个目标：第一，帮助学生理解数据并用好数据；第二，引导学生理解相关性和因果关系，扎实掌握计量经济学的基础知识；第三，学会用stata统计软件进行实证检验；第四，能够阅读论文的实证部分，并能独立完成实证检验的部分，为写学术论文打下基础。</w:t>
      </w:r>
    </w:p>
    <w:p>
      <w:pPr>
        <w:pStyle w:val="2"/>
        <w:spacing w:before="156" w:beforeLines="50" w:after="156" w:afterLines="50"/>
        <w:ind w:firstLine="480" w:firstLineChars="200"/>
        <w:rPr>
          <w:rFonts w:hAnsi="宋体" w:cs="宋体"/>
        </w:rPr>
      </w:pPr>
      <w:r>
        <w:rPr>
          <w:rFonts w:hint="eastAsia" w:ascii="黑体" w:hAnsi="黑体" w:eastAsia="黑体" w:cs="宋体"/>
          <w:sz w:val="24"/>
          <w:szCs w:val="24"/>
        </w:rPr>
        <w:t>（二）课程目标：</w:t>
      </w:r>
    </w:p>
    <w:p>
      <w:pPr>
        <w:pStyle w:val="2"/>
        <w:spacing w:before="156" w:beforeLines="50" w:after="156" w:afterLines="50"/>
        <w:ind w:firstLine="422" w:firstLineChars="200"/>
        <w:rPr>
          <w:rFonts w:hAnsi="宋体" w:cs="宋体"/>
          <w:b/>
        </w:rPr>
      </w:pPr>
      <w:r>
        <w:rPr>
          <w:rFonts w:hint="eastAsia" w:hAnsi="宋体" w:cs="宋体"/>
          <w:b/>
        </w:rPr>
        <w:t>课程目标1：</w:t>
      </w:r>
      <w:r>
        <w:rPr>
          <w:rFonts w:hint="eastAsia" w:hAnsi="宋体" w:cs="宋体"/>
        </w:rPr>
        <w:t>帮助学生理解数据并用好数据</w:t>
      </w:r>
    </w:p>
    <w:p>
      <w:pPr>
        <w:pStyle w:val="2"/>
        <w:spacing w:before="156" w:beforeLines="50" w:after="156" w:afterLines="50"/>
        <w:ind w:firstLine="420" w:firstLineChars="200"/>
        <w:rPr>
          <w:rFonts w:hint="eastAsia" w:hAnsi="宋体" w:cs="宋体"/>
        </w:rPr>
      </w:pPr>
      <w:r>
        <w:rPr>
          <w:rFonts w:hint="eastAsia" w:hAnsi="宋体" w:cs="宋体"/>
        </w:rPr>
        <w:t>1．1 概率论的知识回顾</w:t>
      </w:r>
    </w:p>
    <w:p>
      <w:pPr>
        <w:pStyle w:val="2"/>
        <w:spacing w:before="156" w:beforeLines="50" w:after="156" w:afterLines="50"/>
        <w:ind w:firstLine="420" w:firstLineChars="200"/>
        <w:rPr>
          <w:rFonts w:hAnsi="宋体" w:cs="宋体"/>
        </w:rPr>
      </w:pPr>
      <w:r>
        <w:rPr>
          <w:rFonts w:hAnsi="宋体" w:cs="宋体"/>
        </w:rPr>
        <w:t>1</w:t>
      </w:r>
      <w:r>
        <w:rPr>
          <w:rFonts w:hint="eastAsia" w:hAnsi="宋体" w:cs="宋体"/>
        </w:rPr>
        <w:t>．2 统计学的进阶教学</w:t>
      </w:r>
    </w:p>
    <w:p>
      <w:pPr>
        <w:pStyle w:val="2"/>
        <w:spacing w:before="156" w:beforeLines="50" w:after="156" w:afterLines="50"/>
        <w:ind w:firstLine="422" w:firstLineChars="200"/>
        <w:rPr>
          <w:rFonts w:hAnsi="宋体" w:cs="宋体"/>
          <w:b/>
        </w:rPr>
      </w:pPr>
      <w:r>
        <w:rPr>
          <w:rFonts w:hint="eastAsia" w:hAnsi="宋体" w:cs="宋体"/>
          <w:b/>
        </w:rPr>
        <w:t>课程目标2：</w:t>
      </w:r>
      <w:r>
        <w:rPr>
          <w:rFonts w:hint="eastAsia" w:hAnsi="宋体" w:cs="宋体"/>
        </w:rPr>
        <w:t>引导学生理解相关性和因果关系，扎实掌握计量经济学的基础知识</w:t>
      </w:r>
    </w:p>
    <w:p>
      <w:pPr>
        <w:pStyle w:val="2"/>
        <w:spacing w:before="156" w:beforeLines="50" w:after="156" w:afterLines="50"/>
        <w:ind w:firstLine="420" w:firstLineChars="200"/>
        <w:rPr>
          <w:rFonts w:hint="eastAsia" w:hAnsi="宋体" w:cs="宋体"/>
        </w:rPr>
      </w:pPr>
      <w:r>
        <w:rPr>
          <w:rFonts w:hint="eastAsia" w:hAnsi="宋体" w:cs="宋体"/>
        </w:rPr>
        <w:t>2．1 理解各种实证模型和学习模型推导</w:t>
      </w:r>
    </w:p>
    <w:p>
      <w:pPr>
        <w:pStyle w:val="2"/>
        <w:spacing w:before="156" w:beforeLines="50" w:after="156" w:afterLines="50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t>2</w:t>
      </w:r>
      <w:r>
        <w:rPr>
          <w:rFonts w:hint="eastAsia" w:hAnsi="宋体" w:cs="宋体"/>
        </w:rPr>
        <w:t>．2 学习解决内生性问题的各种方法，理解相关关系和因果关系</w:t>
      </w:r>
    </w:p>
    <w:p>
      <w:pPr>
        <w:pStyle w:val="2"/>
        <w:spacing w:before="156" w:beforeLines="50" w:after="156" w:afterLines="50"/>
        <w:ind w:firstLine="422" w:firstLineChars="200"/>
        <w:rPr>
          <w:rFonts w:hAnsi="宋体" w:cs="宋体"/>
        </w:rPr>
      </w:pPr>
      <w:r>
        <w:rPr>
          <w:rFonts w:hint="eastAsia" w:hAnsi="宋体" w:cs="宋体"/>
          <w:b/>
        </w:rPr>
        <w:t>课程目标3：</w:t>
      </w:r>
      <w:r>
        <w:rPr>
          <w:rFonts w:hint="eastAsia" w:hAnsi="宋体" w:cs="宋体"/>
        </w:rPr>
        <w:t>学会用stata统计软件进行实证检验</w:t>
      </w:r>
    </w:p>
    <w:p>
      <w:pPr>
        <w:pStyle w:val="2"/>
        <w:spacing w:before="156" w:beforeLines="50" w:after="156" w:afterLines="50"/>
        <w:ind w:firstLine="420" w:firstLineChars="200"/>
        <w:rPr>
          <w:rFonts w:hint="eastAsia" w:hAnsi="宋体" w:cs="宋体"/>
        </w:rPr>
      </w:pPr>
      <w:r>
        <w:rPr>
          <w:rFonts w:hint="eastAsia" w:hAnsi="宋体" w:cs="宋体"/>
        </w:rPr>
        <w:t>3.1  学习基础的stata命令和数据整理</w:t>
      </w:r>
    </w:p>
    <w:p>
      <w:pPr>
        <w:pStyle w:val="2"/>
        <w:spacing w:before="156" w:beforeLines="50" w:after="156" w:afterLines="50"/>
        <w:ind w:firstLine="420" w:firstLineChars="200"/>
        <w:rPr>
          <w:rFonts w:hint="eastAsia" w:hAnsi="宋体" w:cs="宋体"/>
        </w:rPr>
      </w:pPr>
      <w:r>
        <w:rPr>
          <w:rFonts w:hint="eastAsia" w:hAnsi="宋体" w:cs="宋体"/>
        </w:rPr>
        <w:t>3.2  用stata进行实证分析</w:t>
      </w:r>
    </w:p>
    <w:p>
      <w:pPr>
        <w:pStyle w:val="2"/>
        <w:spacing w:before="156" w:beforeLines="50" w:after="156" w:afterLines="50"/>
        <w:ind w:firstLine="422" w:firstLineChars="200"/>
        <w:rPr>
          <w:rFonts w:hAnsi="宋体" w:cs="宋体"/>
          <w:b/>
        </w:rPr>
      </w:pPr>
      <w:r>
        <w:rPr>
          <w:rFonts w:hint="eastAsia" w:hAnsi="宋体" w:cs="宋体"/>
          <w:b/>
        </w:rPr>
        <w:t>课程目标4：</w:t>
      </w:r>
      <w:r>
        <w:rPr>
          <w:rFonts w:hint="eastAsia" w:hAnsi="宋体" w:cs="宋体"/>
        </w:rPr>
        <w:t>能够阅读论文的实证部分，并能独立完成实证检验的部分，为写学术论文打下基础</w:t>
      </w:r>
    </w:p>
    <w:p>
      <w:pPr>
        <w:pStyle w:val="2"/>
        <w:spacing w:before="156" w:beforeLines="50" w:after="156" w:afterLines="50"/>
        <w:ind w:firstLine="420" w:firstLineChars="200"/>
        <w:rPr>
          <w:rFonts w:hint="eastAsia" w:hAnsi="宋体" w:cs="宋体"/>
        </w:rPr>
      </w:pPr>
      <w:r>
        <w:rPr>
          <w:rFonts w:hint="eastAsia" w:hAnsi="宋体" w:cs="宋体"/>
        </w:rPr>
        <w:t>4.1  阅读实证论文并进行展示汇报</w:t>
      </w:r>
    </w:p>
    <w:p>
      <w:pPr>
        <w:pStyle w:val="2"/>
        <w:spacing w:before="156" w:beforeLines="50" w:after="156" w:afterLines="50"/>
        <w:ind w:firstLine="420" w:firstLineChars="200"/>
        <w:rPr>
          <w:rFonts w:hint="eastAsia" w:hAnsi="宋体" w:cs="宋体"/>
        </w:rPr>
      </w:pPr>
      <w:r>
        <w:rPr>
          <w:rFonts w:hint="eastAsia" w:hAnsi="宋体" w:cs="宋体"/>
        </w:rPr>
        <w:t>4.2  提出假设检验，完成实证检验</w:t>
      </w:r>
    </w:p>
    <w:p>
      <w:pPr>
        <w:pStyle w:val="2"/>
        <w:spacing w:before="156" w:beforeLines="50" w:after="156" w:afterLines="50"/>
        <w:ind w:firstLine="480" w:firstLineChars="200"/>
        <w:rPr>
          <w:rFonts w:hAnsi="宋体" w:cs="宋体"/>
        </w:rPr>
      </w:pPr>
      <w:r>
        <w:rPr>
          <w:rFonts w:hint="eastAsia" w:ascii="黑体" w:hAnsi="黑体" w:eastAsia="黑体" w:cs="宋体"/>
          <w:sz w:val="24"/>
          <w:szCs w:val="24"/>
        </w:rPr>
        <w:t>（三）课程目标与毕业要求、课程内容的对应关系</w:t>
      </w:r>
    </w:p>
    <w:p>
      <w:pPr>
        <w:pStyle w:val="2"/>
        <w:spacing w:before="156" w:beforeLines="50" w:after="156" w:afterLines="50"/>
        <w:ind w:firstLine="422" w:firstLineChars="200"/>
        <w:jc w:val="center"/>
        <w:rPr>
          <w:rFonts w:ascii="黑体" w:hAnsi="宋体"/>
          <w:b/>
          <w:bCs/>
          <w:szCs w:val="21"/>
        </w:rPr>
      </w:pPr>
      <w:r>
        <w:rPr>
          <w:rFonts w:hint="eastAsia" w:ascii="黑体" w:hAnsi="宋体"/>
          <w:b/>
          <w:bCs/>
          <w:szCs w:val="21"/>
        </w:rPr>
        <w:t xml:space="preserve">表1：课程目标与课程内容、毕业要求的对应关系表 </w:t>
      </w:r>
    </w:p>
    <w:tbl>
      <w:tblPr>
        <w:tblStyle w:val="7"/>
        <w:tblW w:w="906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2"/>
        <w:gridCol w:w="1959"/>
        <w:gridCol w:w="3118"/>
        <w:gridCol w:w="26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b/>
              </w:rPr>
            </w:pPr>
            <w:r>
              <w:rPr>
                <w:rFonts w:hint="eastAsia" w:hAnsi="宋体" w:cs="宋体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对应毕业要求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课程目标1</w:t>
            </w:r>
          </w:p>
        </w:tc>
        <w:tc>
          <w:tcPr>
            <w:tcW w:w="195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1.1</w:t>
            </w:r>
          </w:p>
        </w:tc>
        <w:tc>
          <w:tcPr>
            <w:tcW w:w="3118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hAnsi="宋体" w:cs="宋体"/>
              </w:rPr>
            </w:pPr>
            <w:r>
              <w:rPr>
                <w:rFonts w:hint="eastAsia" w:hAnsi="宋体" w:cs="宋体"/>
              </w:rPr>
              <w:t>概率论</w:t>
            </w:r>
          </w:p>
        </w:tc>
        <w:tc>
          <w:tcPr>
            <w:tcW w:w="2688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hAnsi="宋体" w:eastAsia="宋体" w:cs="宋体"/>
                <w:lang w:val="en-US"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基础性知识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1.2</w:t>
            </w:r>
          </w:p>
        </w:tc>
        <w:tc>
          <w:tcPr>
            <w:tcW w:w="3118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统计学</w:t>
            </w:r>
          </w:p>
        </w:tc>
        <w:tc>
          <w:tcPr>
            <w:tcW w:w="2688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  <w:lang w:val="en-US" w:eastAsia="zh-CN"/>
              </w:rPr>
              <w:t>基础性知识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课程目标2</w:t>
            </w:r>
          </w:p>
        </w:tc>
        <w:tc>
          <w:tcPr>
            <w:tcW w:w="195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2.1</w:t>
            </w:r>
          </w:p>
        </w:tc>
        <w:tc>
          <w:tcPr>
            <w:tcW w:w="3118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实证模型</w:t>
            </w:r>
          </w:p>
        </w:tc>
        <w:tc>
          <w:tcPr>
            <w:tcW w:w="2688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hAnsi="宋体" w:eastAsia="宋体" w:cs="宋体"/>
                <w:lang w:eastAsia="zh-CN"/>
              </w:rPr>
            </w:pPr>
            <w:r>
              <w:rPr>
                <w:rFonts w:hint="eastAsia" w:hAnsi="宋体" w:cs="宋体"/>
                <w:lang w:eastAsia="zh-CN"/>
              </w:rPr>
              <w:t>专业性知识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2.2</w:t>
            </w:r>
          </w:p>
        </w:tc>
        <w:tc>
          <w:tcPr>
            <w:tcW w:w="3118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内生性问题</w:t>
            </w:r>
          </w:p>
        </w:tc>
        <w:tc>
          <w:tcPr>
            <w:tcW w:w="2688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  <w:lang w:eastAsia="zh-CN"/>
              </w:rPr>
              <w:t>专业性知识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课程目标3</w:t>
            </w:r>
          </w:p>
        </w:tc>
        <w:tc>
          <w:tcPr>
            <w:tcW w:w="195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3.1</w:t>
            </w:r>
          </w:p>
        </w:tc>
        <w:tc>
          <w:tcPr>
            <w:tcW w:w="3118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hAnsi="宋体" w:cs="宋体"/>
              </w:rPr>
            </w:pPr>
            <w:r>
              <w:rPr>
                <w:rFonts w:hAnsi="宋体" w:cs="宋体"/>
              </w:rPr>
              <w:t>S</w:t>
            </w:r>
            <w:r>
              <w:rPr>
                <w:rFonts w:hint="eastAsia" w:hAnsi="宋体" w:cs="宋体"/>
              </w:rPr>
              <w:t>tata命令学习</w:t>
            </w:r>
          </w:p>
        </w:tc>
        <w:tc>
          <w:tcPr>
            <w:tcW w:w="2688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  <w:lang w:eastAsia="zh-CN"/>
              </w:rPr>
              <w:t>专业性知识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</w:p>
        </w:tc>
        <w:tc>
          <w:tcPr>
            <w:tcW w:w="195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3.2</w:t>
            </w:r>
          </w:p>
        </w:tc>
        <w:tc>
          <w:tcPr>
            <w:tcW w:w="3118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hAnsi="宋体" w:cs="宋体"/>
              </w:rPr>
            </w:pPr>
            <w:r>
              <w:rPr>
                <w:rFonts w:hAnsi="宋体" w:cs="宋体"/>
              </w:rPr>
              <w:t>S</w:t>
            </w:r>
            <w:r>
              <w:rPr>
                <w:rFonts w:hint="eastAsia" w:hAnsi="宋体" w:cs="宋体"/>
              </w:rPr>
              <w:t>tata实证分析</w:t>
            </w:r>
          </w:p>
        </w:tc>
        <w:tc>
          <w:tcPr>
            <w:tcW w:w="2688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  <w:lang w:eastAsia="zh-CN"/>
              </w:rPr>
              <w:t>专业性知识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hAnsi="宋体" w:cs="宋体"/>
              </w:rPr>
            </w:pPr>
            <w:r>
              <w:rPr>
                <w:rFonts w:hint="eastAsia" w:hAnsi="宋体" w:cs="宋体"/>
              </w:rPr>
              <w:t>课程目标4</w:t>
            </w:r>
          </w:p>
        </w:tc>
        <w:tc>
          <w:tcPr>
            <w:tcW w:w="195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hAnsi="宋体" w:cs="宋体"/>
              </w:rPr>
            </w:pPr>
            <w:r>
              <w:rPr>
                <w:rFonts w:hint="eastAsia" w:hAnsi="宋体" w:cs="宋体"/>
              </w:rPr>
              <w:t>4.1</w:t>
            </w:r>
          </w:p>
        </w:tc>
        <w:tc>
          <w:tcPr>
            <w:tcW w:w="3118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论文阅读和展示</w:t>
            </w:r>
          </w:p>
        </w:tc>
        <w:tc>
          <w:tcPr>
            <w:tcW w:w="2688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hAnsi="宋体" w:cs="宋体"/>
                <w:lang w:eastAsia="zh-CN"/>
              </w:rPr>
            </w:pPr>
            <w:r>
              <w:rPr>
                <w:rFonts w:hint="eastAsia" w:hAnsi="宋体" w:cs="宋体"/>
                <w:lang w:eastAsia="zh-CN"/>
              </w:rPr>
              <w:t>运用知识的能力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hAnsi="宋体" w:cs="宋体"/>
              </w:rPr>
            </w:pPr>
          </w:p>
        </w:tc>
        <w:tc>
          <w:tcPr>
            <w:tcW w:w="195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hAnsi="宋体" w:cs="宋体"/>
              </w:rPr>
            </w:pPr>
            <w:r>
              <w:rPr>
                <w:rFonts w:hint="eastAsia" w:hAnsi="宋体" w:cs="宋体"/>
              </w:rPr>
              <w:t>4.2</w:t>
            </w:r>
          </w:p>
        </w:tc>
        <w:tc>
          <w:tcPr>
            <w:tcW w:w="3118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论文写作</w:t>
            </w:r>
          </w:p>
        </w:tc>
        <w:tc>
          <w:tcPr>
            <w:tcW w:w="2688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hAnsi="宋体" w:cs="宋体"/>
                <w:lang w:eastAsia="zh-CN"/>
              </w:rPr>
            </w:pPr>
            <w:r>
              <w:rPr>
                <w:rFonts w:hint="eastAsia" w:hAnsi="宋体" w:cs="宋体"/>
                <w:lang w:eastAsia="zh-CN"/>
              </w:rPr>
              <w:t>运用知识的能力</w:t>
            </w:r>
          </w:p>
        </w:tc>
      </w:tr>
    </w:tbl>
    <w:p>
      <w:pPr>
        <w:spacing w:before="156" w:beforeLines="50" w:after="156" w:afterLines="50"/>
        <w:ind w:firstLine="562" w:firstLineChars="200"/>
        <w:rPr>
          <w:rFonts w:hint="eastAsia"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三、教学内容</w:t>
      </w:r>
    </w:p>
    <w:p>
      <w:pPr>
        <w:widowControl/>
        <w:spacing w:before="156" w:beforeLines="50" w:after="156" w:afterLines="50"/>
        <w:ind w:firstLine="482" w:firstLineChars="200"/>
        <w:jc w:val="left"/>
      </w:pPr>
      <w:r>
        <w:rPr>
          <w:rFonts w:hint="eastAsia" w:ascii="黑体" w:hAnsi="黑体" w:eastAsia="黑体" w:cs="Times New Roman"/>
          <w:b/>
          <w:sz w:val="24"/>
          <w:szCs w:val="24"/>
        </w:rPr>
        <w:t>第一章 概率论</w:t>
      </w:r>
      <w:r>
        <w:rPr>
          <w:rFonts w:hint="eastAsia" w:ascii="宋体" w:hAnsi="宋体" w:cs="宋体"/>
          <w:b/>
          <w:color w:val="000000"/>
          <w:kern w:val="0"/>
          <w:sz w:val="20"/>
          <w:szCs w:val="20"/>
        </w:rPr>
        <w:t xml:space="preserve"> 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教学目标 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帮助学生理解数据的分布，用好数据。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教学重难点 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概率论的知识相对抽象，尤其是贝叶斯法则的运用。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随机变量，概率分布，假设检验，概率分布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教学方法 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讲授法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课堂作业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 xml:space="preserve">第二章 统计学 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教学目标 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学习数据的比较和数据的推断。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教学重难点 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现实中运用统计知识解决问题的困难。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数据比较和数据推断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教学方法 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讲授法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课堂作业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 xml:space="preserve">第三章 计量经济学 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教学目标 </w:t>
      </w:r>
    </w:p>
    <w:p>
      <w:pPr>
        <w:pStyle w:val="2"/>
        <w:spacing w:before="156" w:beforeLines="50" w:after="156" w:afterLines="50"/>
        <w:ind w:firstLine="420" w:firstLineChars="200"/>
        <w:rPr>
          <w:rFonts w:hAnsi="宋体" w:cs="宋体"/>
          <w:b/>
        </w:rPr>
      </w:pPr>
      <w:r>
        <w:rPr>
          <w:rFonts w:hint="eastAsia" w:hAnsi="宋体" w:cs="宋体"/>
        </w:rPr>
        <w:t>引导学生理解相关性和因果关系，扎实掌握计量经济学的基础知识</w:t>
      </w:r>
      <w:r>
        <w:rPr>
          <w:rFonts w:hint="eastAsia" w:hAnsi="宋体" w:cs="宋体"/>
          <w:color w:val="000000"/>
          <w:kern w:val="0"/>
          <w:szCs w:val="21"/>
        </w:rPr>
        <w:t>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内生性问题的解决。 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回归模型，内生性问题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教学方法 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讲授法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课堂作业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 xml:space="preserve">第四章 学术论文 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教学目标 </w:t>
      </w:r>
    </w:p>
    <w:p>
      <w:pPr>
        <w:pStyle w:val="2"/>
        <w:spacing w:before="156" w:beforeLines="50" w:after="156" w:afterLines="50"/>
        <w:ind w:firstLine="420" w:firstLineChars="200"/>
        <w:rPr>
          <w:rFonts w:hAnsi="宋体" w:cs="宋体"/>
          <w:b/>
        </w:rPr>
      </w:pPr>
      <w:r>
        <w:rPr>
          <w:rFonts w:hint="eastAsia" w:hAnsi="宋体" w:cs="宋体"/>
        </w:rPr>
        <w:t>能够阅读论文的实证部分，并能独立完成实证检验的部分，为写学术论文打下基础</w:t>
      </w:r>
      <w:r>
        <w:rPr>
          <w:rFonts w:hint="eastAsia" w:hAnsi="宋体" w:cs="宋体"/>
          <w:color w:val="000000"/>
          <w:kern w:val="0"/>
          <w:szCs w:val="21"/>
        </w:rPr>
        <w:t>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教学重难点 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学生阅读论文难度较大，处理数据很困难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szCs w:val="21"/>
        </w:rPr>
      </w:pPr>
      <w:r>
        <w:rPr>
          <w:rFonts w:ascii="宋体" w:hAnsi="宋体" w:eastAsia="宋体" w:cs="宋体"/>
          <w:color w:val="000000"/>
          <w:kern w:val="0"/>
          <w:szCs w:val="21"/>
        </w:rPr>
        <w:t>S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tata统计软件，论文阅读教学，论文写作指导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教学方法 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讲授法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学生展示</w:t>
      </w:r>
    </w:p>
    <w:p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四、学时分配</w:t>
      </w:r>
    </w:p>
    <w:p>
      <w:pPr>
        <w:widowControl/>
        <w:spacing w:before="156" w:beforeLines="50" w:after="156" w:afterLines="50"/>
        <w:jc w:val="center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eastAsia="宋体"/>
          <w:b/>
          <w:szCs w:val="21"/>
        </w:rPr>
        <w:t>表2：各章节的具体内容和学时分配表</w:t>
      </w:r>
    </w:p>
    <w:tbl>
      <w:tblPr>
        <w:tblStyle w:val="8"/>
        <w:tblW w:w="829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5"/>
        <w:gridCol w:w="2765"/>
        <w:gridCol w:w="27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章节</w:t>
            </w:r>
          </w:p>
        </w:tc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章节内容</w:t>
            </w:r>
          </w:p>
        </w:tc>
        <w:tc>
          <w:tcPr>
            <w:tcW w:w="276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学时分配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第一章</w:t>
            </w:r>
          </w:p>
        </w:tc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概率论</w:t>
            </w:r>
          </w:p>
        </w:tc>
        <w:tc>
          <w:tcPr>
            <w:tcW w:w="276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第二章</w:t>
            </w:r>
          </w:p>
        </w:tc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统计学</w:t>
            </w:r>
          </w:p>
        </w:tc>
        <w:tc>
          <w:tcPr>
            <w:tcW w:w="276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第三章</w:t>
            </w:r>
          </w:p>
        </w:tc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计量经济学</w:t>
            </w:r>
          </w:p>
        </w:tc>
        <w:tc>
          <w:tcPr>
            <w:tcW w:w="276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第四章</w:t>
            </w:r>
          </w:p>
        </w:tc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学术论文</w:t>
            </w:r>
          </w:p>
        </w:tc>
        <w:tc>
          <w:tcPr>
            <w:tcW w:w="276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20</w:t>
            </w:r>
          </w:p>
        </w:tc>
      </w:tr>
    </w:tbl>
    <w:p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五、教学进度</w:t>
      </w:r>
      <w:bookmarkStart w:id="1" w:name="_GoBack"/>
      <w:bookmarkEnd w:id="1"/>
    </w:p>
    <w:p>
      <w:pPr>
        <w:widowControl/>
        <w:spacing w:before="156" w:beforeLines="50" w:after="156" w:afterLines="50"/>
        <w:jc w:val="center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b/>
          <w:szCs w:val="21"/>
        </w:rPr>
        <w:t>表3：教学进度表</w:t>
      </w:r>
    </w:p>
    <w:tbl>
      <w:tblPr>
        <w:tblStyle w:val="8"/>
        <w:tblW w:w="829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2"/>
        <w:gridCol w:w="929"/>
        <w:gridCol w:w="1145"/>
        <w:gridCol w:w="1145"/>
        <w:gridCol w:w="1145"/>
        <w:gridCol w:w="1386"/>
        <w:gridCol w:w="9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周次</w:t>
            </w:r>
          </w:p>
        </w:tc>
        <w:tc>
          <w:tcPr>
            <w:tcW w:w="92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日期</w:t>
            </w:r>
          </w:p>
        </w:tc>
        <w:tc>
          <w:tcPr>
            <w:tcW w:w="114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章节名称</w:t>
            </w:r>
          </w:p>
        </w:tc>
        <w:tc>
          <w:tcPr>
            <w:tcW w:w="114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内容提要</w:t>
            </w:r>
          </w:p>
        </w:tc>
        <w:tc>
          <w:tcPr>
            <w:tcW w:w="114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授课时数</w:t>
            </w:r>
          </w:p>
        </w:tc>
        <w:tc>
          <w:tcPr>
            <w:tcW w:w="138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作业及要求</w:t>
            </w:r>
          </w:p>
        </w:tc>
        <w:tc>
          <w:tcPr>
            <w:tcW w:w="90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1-4</w:t>
            </w:r>
          </w:p>
        </w:tc>
        <w:tc>
          <w:tcPr>
            <w:tcW w:w="929" w:type="dxa"/>
          </w:tcPr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4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</w:rPr>
              <w:t>概率论</w:t>
            </w:r>
          </w:p>
        </w:tc>
        <w:tc>
          <w:tcPr>
            <w:tcW w:w="114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概率知识</w:t>
            </w:r>
          </w:p>
        </w:tc>
        <w:tc>
          <w:tcPr>
            <w:tcW w:w="114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</w:rPr>
              <w:t>16</w:t>
            </w:r>
          </w:p>
        </w:tc>
        <w:tc>
          <w:tcPr>
            <w:tcW w:w="138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课堂作业</w:t>
            </w:r>
          </w:p>
        </w:tc>
        <w:tc>
          <w:tcPr>
            <w:tcW w:w="90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5</w:t>
            </w:r>
            <w:r>
              <w:rPr>
                <w:rFonts w:ascii="宋体" w:hAnsi="宋体" w:eastAsia="宋体"/>
                <w:szCs w:val="21"/>
              </w:rPr>
              <w:t>-</w:t>
            </w:r>
            <w:r>
              <w:rPr>
                <w:rFonts w:hint="eastAsia" w:ascii="宋体" w:hAnsi="宋体" w:eastAsia="宋体"/>
                <w:szCs w:val="21"/>
              </w:rPr>
              <w:t>8</w:t>
            </w:r>
          </w:p>
        </w:tc>
        <w:tc>
          <w:tcPr>
            <w:tcW w:w="929" w:type="dxa"/>
          </w:tcPr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4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</w:rPr>
              <w:t>统计学</w:t>
            </w:r>
          </w:p>
        </w:tc>
        <w:tc>
          <w:tcPr>
            <w:tcW w:w="114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统计知识</w:t>
            </w:r>
          </w:p>
        </w:tc>
        <w:tc>
          <w:tcPr>
            <w:tcW w:w="114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</w:rPr>
              <w:t>16</w:t>
            </w:r>
          </w:p>
        </w:tc>
        <w:tc>
          <w:tcPr>
            <w:tcW w:w="138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课堂作业</w:t>
            </w:r>
          </w:p>
        </w:tc>
        <w:tc>
          <w:tcPr>
            <w:tcW w:w="90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9</w:t>
            </w:r>
            <w:r>
              <w:rPr>
                <w:rFonts w:ascii="宋体" w:hAnsi="宋体" w:eastAsia="宋体"/>
                <w:szCs w:val="21"/>
              </w:rPr>
              <w:t>-</w:t>
            </w:r>
            <w:r>
              <w:rPr>
                <w:rFonts w:hint="eastAsia" w:ascii="宋体" w:hAnsi="宋体" w:eastAsia="宋体"/>
                <w:szCs w:val="21"/>
              </w:rPr>
              <w:t>13</w:t>
            </w:r>
          </w:p>
        </w:tc>
        <w:tc>
          <w:tcPr>
            <w:tcW w:w="929" w:type="dxa"/>
          </w:tcPr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4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</w:rPr>
              <w:t>计量经济学</w:t>
            </w:r>
          </w:p>
        </w:tc>
        <w:tc>
          <w:tcPr>
            <w:tcW w:w="114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计量知识</w:t>
            </w:r>
          </w:p>
        </w:tc>
        <w:tc>
          <w:tcPr>
            <w:tcW w:w="114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</w:rPr>
              <w:t>20</w:t>
            </w:r>
          </w:p>
        </w:tc>
        <w:tc>
          <w:tcPr>
            <w:tcW w:w="138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课堂作业</w:t>
            </w:r>
          </w:p>
        </w:tc>
        <w:tc>
          <w:tcPr>
            <w:tcW w:w="90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14-18</w:t>
            </w:r>
          </w:p>
        </w:tc>
        <w:tc>
          <w:tcPr>
            <w:tcW w:w="929" w:type="dxa"/>
          </w:tcPr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4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</w:rPr>
              <w:t>学术论文</w:t>
            </w:r>
          </w:p>
        </w:tc>
        <w:tc>
          <w:tcPr>
            <w:tcW w:w="114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论文教学</w:t>
            </w:r>
          </w:p>
        </w:tc>
        <w:tc>
          <w:tcPr>
            <w:tcW w:w="114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</w:rPr>
              <w:t>20</w:t>
            </w:r>
          </w:p>
        </w:tc>
        <w:tc>
          <w:tcPr>
            <w:tcW w:w="138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课堂展示</w:t>
            </w:r>
          </w:p>
        </w:tc>
        <w:tc>
          <w:tcPr>
            <w:tcW w:w="90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</w:tbl>
    <w:p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六、教材及参考书目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ascii="宋体" w:hAnsi="宋体" w:eastAsia="宋体"/>
        </w:rPr>
        <w:t>1</w:t>
      </w:r>
      <w:r>
        <w:rPr>
          <w:rFonts w:hint="eastAsia" w:ascii="宋体" w:hAnsi="宋体" w:eastAsia="宋体"/>
        </w:rPr>
        <w:t>．《计量经济学导论现代观点》（第六版）（美）伍德里奇，中国人民大学出版社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2．老师整理的学术论文</w:t>
      </w:r>
    </w:p>
    <w:p>
      <w:pPr>
        <w:widowControl/>
        <w:spacing w:before="156" w:beforeLines="50" w:after="156" w:afterLines="5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 </w:t>
      </w:r>
      <w:r>
        <w:rPr>
          <w:rFonts w:ascii="宋体" w:hAnsi="宋体" w:eastAsia="宋体"/>
        </w:rPr>
        <w:t xml:space="preserve">   </w:t>
      </w:r>
    </w:p>
    <w:p>
      <w:pPr>
        <w:widowControl/>
        <w:spacing w:before="156" w:beforeLines="50" w:after="156" w:afterLines="50"/>
        <w:ind w:firstLine="562" w:firstLineChars="200"/>
        <w:jc w:val="left"/>
        <w:rPr>
          <w:rFonts w:ascii="宋体" w:hAnsi="宋体" w:eastAsia="宋体"/>
        </w:rPr>
      </w:pPr>
      <w:r>
        <w:rPr>
          <w:rFonts w:hint="eastAsia" w:ascii="黑体" w:hAnsi="黑体" w:eastAsia="黑体"/>
          <w:b/>
          <w:sz w:val="28"/>
          <w:szCs w:val="28"/>
        </w:rPr>
        <w:t xml:space="preserve">七、教学方法 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（讲授法、讨论法、案例教学法等，按规范方式列举，并进行简要说明）（五号宋体）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1．讲授法：教师对内容进行展示，对具体模型和软件操作进行推导和演示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2．讨论法：让学生参与到论文的展示，并与教师学生进行讨论</w:t>
      </w:r>
    </w:p>
    <w:p>
      <w:pPr>
        <w:widowControl/>
        <w:spacing w:before="156" w:beforeLines="50" w:after="156" w:afterLines="50"/>
        <w:jc w:val="left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宋体" w:hAnsi="宋体" w:eastAsia="宋体"/>
        </w:rPr>
        <w:t xml:space="preserve"> </w:t>
      </w:r>
      <w:r>
        <w:rPr>
          <w:rFonts w:ascii="宋体" w:hAnsi="宋体" w:eastAsia="宋体"/>
        </w:rPr>
        <w:t xml:space="preserve">     </w:t>
      </w:r>
      <w:r>
        <w:rPr>
          <w:rFonts w:hint="eastAsia" w:ascii="黑体" w:hAnsi="黑体" w:eastAsia="黑体"/>
          <w:b/>
          <w:sz w:val="28"/>
          <w:szCs w:val="28"/>
        </w:rPr>
        <w:t>八、考核方式及评定方法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（一）课程考核与课程目标的对应关系</w:t>
      </w:r>
    </w:p>
    <w:p>
      <w:pPr>
        <w:widowControl/>
        <w:spacing w:before="156" w:beforeLines="50" w:after="156" w:afterLines="50"/>
        <w:jc w:val="center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b/>
          <w:szCs w:val="21"/>
        </w:rPr>
        <w:t>表4：课程考核与课程目标的对应关系表</w:t>
      </w:r>
    </w:p>
    <w:tbl>
      <w:tblPr>
        <w:tblStyle w:val="7"/>
        <w:tblW w:w="854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7"/>
        <w:gridCol w:w="2849"/>
        <w:gridCol w:w="28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课程目标1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hAnsi="宋体"/>
                <w:b/>
              </w:rPr>
            </w:pPr>
            <w:r>
              <w:rPr>
                <w:rFonts w:hint="eastAsia" w:hAnsi="宋体"/>
                <w:b/>
              </w:rPr>
              <w:t>能够理解数据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课程目标2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hAnsi="宋体"/>
                <w:b/>
              </w:rPr>
            </w:pPr>
            <w:r>
              <w:rPr>
                <w:rFonts w:hint="eastAsia" w:hAnsi="宋体"/>
                <w:b/>
              </w:rPr>
              <w:t>学会数据比较和推断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课程目标3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理解因果关系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课程目标4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能够实现论文实证检验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期末论文</w:t>
            </w:r>
          </w:p>
        </w:tc>
      </w:tr>
    </w:tbl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 xml:space="preserve">（二）评定方法 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eastAsia="宋体"/>
          <w:b/>
        </w:rPr>
        <w:t xml:space="preserve">1．评定方法 </w:t>
      </w:r>
    </w:p>
    <w:p>
      <w:pPr>
        <w:widowControl/>
        <w:spacing w:before="156" w:beforeLines="50" w:after="156" w:afterLines="5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平时成绩：1</w:t>
      </w:r>
      <w:r>
        <w:rPr>
          <w:rFonts w:ascii="宋体" w:hAnsi="宋体" w:eastAsia="宋体"/>
        </w:rPr>
        <w:t>0%</w:t>
      </w:r>
      <w:r>
        <w:rPr>
          <w:rFonts w:hint="eastAsia" w:ascii="宋体" w:hAnsi="宋体" w:eastAsia="宋体"/>
        </w:rPr>
        <w:t>，期中考试：2</w:t>
      </w:r>
      <w:r>
        <w:rPr>
          <w:rFonts w:ascii="宋体" w:hAnsi="宋体" w:eastAsia="宋体"/>
        </w:rPr>
        <w:t>0%</w:t>
      </w:r>
      <w:r>
        <w:rPr>
          <w:rFonts w:hint="eastAsia" w:ascii="宋体" w:hAnsi="宋体" w:eastAsia="宋体"/>
        </w:rPr>
        <w:t>，期末论文：30%，期末考试4</w:t>
      </w:r>
      <w:r>
        <w:rPr>
          <w:rFonts w:ascii="宋体" w:hAnsi="宋体" w:eastAsia="宋体"/>
        </w:rPr>
        <w:t>0%</w:t>
      </w:r>
      <w:r>
        <w:rPr>
          <w:rFonts w:hint="eastAsia" w:ascii="宋体" w:hAnsi="宋体" w:eastAsia="宋体"/>
        </w:rPr>
        <w:t>。</w:t>
      </w:r>
      <w:r>
        <w:rPr>
          <w:rFonts w:ascii="宋体" w:hAnsi="宋体" w:eastAsia="宋体"/>
        </w:rPr>
        <w:t xml:space="preserve"> 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  <w:b/>
        </w:rPr>
        <w:t>2．课程目标的考核占比与达成度分析</w:t>
      </w:r>
    </w:p>
    <w:p>
      <w:pPr>
        <w:widowControl/>
        <w:spacing w:before="156" w:beforeLines="50" w:after="156" w:afterLines="50"/>
        <w:ind w:firstLine="422" w:firstLineChars="200"/>
        <w:jc w:val="center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表5：课程目标的考核占比与达成度分析表</w:t>
      </w:r>
    </w:p>
    <w:tbl>
      <w:tblPr>
        <w:tblStyle w:val="7"/>
        <w:tblW w:w="787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858"/>
        <w:gridCol w:w="1134"/>
        <w:gridCol w:w="1134"/>
        <w:gridCol w:w="26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l2br w:val="single" w:color="auto" w:sz="4" w:space="0"/>
            </w:tcBorders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考核占比</w:t>
            </w:r>
          </w:p>
          <w:p>
            <w:pPr>
              <w:spacing w:before="156" w:beforeLines="50" w:after="156" w:afterLines="50"/>
              <w:ind w:firstLine="105" w:firstLineChars="50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总评达成度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30%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30%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40%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</w:t>
            </w:r>
            <w:r>
              <w:rPr>
                <w:rFonts w:ascii="宋体" w:hAnsi="宋体" w:eastAsia="宋体"/>
                <w:kern w:val="0"/>
                <w:szCs w:val="21"/>
              </w:rPr>
              <w:t>目标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达成度={0.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3</w:t>
            </w:r>
            <w:r>
              <w:rPr>
                <w:rFonts w:ascii="宋体" w:hAnsi="宋体" w:eastAsia="宋体"/>
                <w:kern w:val="0"/>
                <w:szCs w:val="21"/>
              </w:rPr>
              <w:t>ｘ平时目标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成绩+0.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3</w:t>
            </w:r>
            <w:r>
              <w:rPr>
                <w:rFonts w:ascii="宋体" w:hAnsi="宋体" w:eastAsia="宋体"/>
                <w:kern w:val="0"/>
                <w:szCs w:val="21"/>
              </w:rPr>
              <w:t>ｘ期中目标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成绩+0.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4</w:t>
            </w:r>
            <w:r>
              <w:rPr>
                <w:rFonts w:ascii="宋体" w:hAnsi="宋体" w:eastAsia="宋体"/>
                <w:kern w:val="0"/>
                <w:szCs w:val="21"/>
              </w:rPr>
              <w:t>ｘ期末目标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成绩}/目标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总分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30%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30%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40%</w:t>
            </w:r>
          </w:p>
        </w:tc>
        <w:tc>
          <w:tcPr>
            <w:tcW w:w="2627" w:type="dxa"/>
            <w:vMerge w:val="continue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课程目标3</w:t>
            </w:r>
          </w:p>
        </w:tc>
        <w:tc>
          <w:tcPr>
            <w:tcW w:w="858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30%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30%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40%</w:t>
            </w:r>
          </w:p>
        </w:tc>
        <w:tc>
          <w:tcPr>
            <w:tcW w:w="2627" w:type="dxa"/>
            <w:vMerge w:val="continue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课程目标4</w:t>
            </w:r>
          </w:p>
        </w:tc>
        <w:tc>
          <w:tcPr>
            <w:tcW w:w="858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30%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30%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40%</w:t>
            </w:r>
          </w:p>
        </w:tc>
        <w:tc>
          <w:tcPr>
            <w:tcW w:w="2627" w:type="dxa"/>
            <w:vMerge w:val="continue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</w:tr>
    </w:tbl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 xml:space="preserve">（三）评分标准 </w:t>
      </w:r>
    </w:p>
    <w:tbl>
      <w:tblPr>
        <w:tblStyle w:val="7"/>
        <w:tblW w:w="1036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984"/>
        <w:gridCol w:w="1984"/>
        <w:gridCol w:w="1843"/>
        <w:gridCol w:w="1779"/>
        <w:gridCol w:w="1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9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课程</w:t>
            </w:r>
          </w:p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评分标准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＜6</w:t>
            </w:r>
            <w:r>
              <w:rPr>
                <w:rFonts w:ascii="宋体" w:hAnsi="宋体" w:eastAsia="宋体"/>
                <w:b/>
                <w:bCs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全部掌握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掌握良好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基本掌握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部分理解课程知识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完全没有理解课程内容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全部掌握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掌握良好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基本掌握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部分理解课程知识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完全没有理解课程内容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全部掌握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掌握良好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基本掌握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部分理解课程知识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完全没有理解课程内容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</w:t>
            </w: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全部掌握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掌握良好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基本掌握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部分理解课程知识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完全没有理解课程内容</w:t>
            </w:r>
          </w:p>
        </w:tc>
      </w:tr>
    </w:tbl>
    <w:p>
      <w:pPr>
        <w:widowControl/>
        <w:jc w:val="left"/>
        <w:rPr>
          <w:rFonts w:ascii="宋体" w:hAnsi="宋体" w:eastAsia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imesNewRomanPSMT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ksdb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db">
    <w:panose1 w:val="02000500000000000000"/>
    <w:charset w:val="00"/>
    <w:family w:val="auto"/>
    <w:pitch w:val="default"/>
    <w:sig w:usb0="00000001" w:usb1="00000000" w:usb2="00000000" w:usb3="00000000" w:csb0="00000001" w:csb1="0000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724"/>
    <w:rsid w:val="00022CBB"/>
    <w:rsid w:val="00077A5F"/>
    <w:rsid w:val="000A400B"/>
    <w:rsid w:val="000F054A"/>
    <w:rsid w:val="001575AB"/>
    <w:rsid w:val="001E5724"/>
    <w:rsid w:val="00227C09"/>
    <w:rsid w:val="00242673"/>
    <w:rsid w:val="00285327"/>
    <w:rsid w:val="002A7568"/>
    <w:rsid w:val="00313A87"/>
    <w:rsid w:val="003206BD"/>
    <w:rsid w:val="00322986"/>
    <w:rsid w:val="0034254B"/>
    <w:rsid w:val="00365250"/>
    <w:rsid w:val="0038665C"/>
    <w:rsid w:val="004070CF"/>
    <w:rsid w:val="00443C38"/>
    <w:rsid w:val="005A0378"/>
    <w:rsid w:val="005A6FCB"/>
    <w:rsid w:val="006419A8"/>
    <w:rsid w:val="00647231"/>
    <w:rsid w:val="00665621"/>
    <w:rsid w:val="006A7E82"/>
    <w:rsid w:val="006D367B"/>
    <w:rsid w:val="006D464E"/>
    <w:rsid w:val="006E4F82"/>
    <w:rsid w:val="006F64C9"/>
    <w:rsid w:val="0071579F"/>
    <w:rsid w:val="007639A2"/>
    <w:rsid w:val="007C379D"/>
    <w:rsid w:val="007C62ED"/>
    <w:rsid w:val="007E39E3"/>
    <w:rsid w:val="008128AD"/>
    <w:rsid w:val="008560E2"/>
    <w:rsid w:val="00886EBF"/>
    <w:rsid w:val="008954B5"/>
    <w:rsid w:val="00932FB7"/>
    <w:rsid w:val="00972FA8"/>
    <w:rsid w:val="009D7163"/>
    <w:rsid w:val="00A03BBD"/>
    <w:rsid w:val="00A5597A"/>
    <w:rsid w:val="00A61EFD"/>
    <w:rsid w:val="00A94C65"/>
    <w:rsid w:val="00AA4570"/>
    <w:rsid w:val="00AA630A"/>
    <w:rsid w:val="00AE3D1A"/>
    <w:rsid w:val="00B03909"/>
    <w:rsid w:val="00B10760"/>
    <w:rsid w:val="00B40ECD"/>
    <w:rsid w:val="00B47312"/>
    <w:rsid w:val="00B61F06"/>
    <w:rsid w:val="00B87E27"/>
    <w:rsid w:val="00BA23F0"/>
    <w:rsid w:val="00C00798"/>
    <w:rsid w:val="00C54636"/>
    <w:rsid w:val="00CA53B2"/>
    <w:rsid w:val="00D02F99"/>
    <w:rsid w:val="00D13271"/>
    <w:rsid w:val="00D14471"/>
    <w:rsid w:val="00D417A1"/>
    <w:rsid w:val="00D504B7"/>
    <w:rsid w:val="00D715F7"/>
    <w:rsid w:val="00DA14C7"/>
    <w:rsid w:val="00DD7B5F"/>
    <w:rsid w:val="00DE39CD"/>
    <w:rsid w:val="00DE7849"/>
    <w:rsid w:val="00E05E8B"/>
    <w:rsid w:val="00E366AB"/>
    <w:rsid w:val="00E6456A"/>
    <w:rsid w:val="00E76E34"/>
    <w:rsid w:val="00ED7F81"/>
    <w:rsid w:val="00F56396"/>
    <w:rsid w:val="00F90319"/>
    <w:rsid w:val="00FB77A1"/>
    <w:rsid w:val="00FC24B5"/>
    <w:rsid w:val="02BE7ED3"/>
    <w:rsid w:val="232A511F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qFormat/>
    <w:uiPriority w:val="99"/>
    <w:rPr>
      <w:rFonts w:ascii="宋体" w:hAnsi="Courier New" w:eastAsia="宋体" w:cs="Times New Roman"/>
      <w:szCs w:val="20"/>
    </w:rPr>
  </w:style>
  <w:style w:type="paragraph" w:styleId="3">
    <w:name w:val="Balloon Text"/>
    <w:basedOn w:val="1"/>
    <w:link w:val="12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纯文本 字符"/>
    <w:basedOn w:val="6"/>
    <w:link w:val="2"/>
    <w:qFormat/>
    <w:uiPriority w:val="99"/>
    <w:rPr>
      <w:rFonts w:ascii="宋体" w:hAnsi="Courier New" w:eastAsia="宋体" w:cs="Times New Roman"/>
      <w:szCs w:val="20"/>
    </w:rPr>
  </w:style>
  <w:style w:type="character" w:customStyle="1" w:styleId="10">
    <w:name w:val="页眉 字符"/>
    <w:basedOn w:val="6"/>
    <w:link w:val="5"/>
    <w:qFormat/>
    <w:uiPriority w:val="99"/>
    <w:rPr>
      <w:sz w:val="18"/>
      <w:szCs w:val="18"/>
    </w:rPr>
  </w:style>
  <w:style w:type="character" w:customStyle="1" w:styleId="11">
    <w:name w:val="页脚 字符"/>
    <w:basedOn w:val="6"/>
    <w:link w:val="4"/>
    <w:qFormat/>
    <w:uiPriority w:val="99"/>
    <w:rPr>
      <w:sz w:val="18"/>
      <w:szCs w:val="18"/>
    </w:rPr>
  </w:style>
  <w:style w:type="character" w:customStyle="1" w:styleId="12">
    <w:name w:val="批注框文本 字符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6</Pages>
  <Words>411</Words>
  <Characters>2349</Characters>
  <Lines>19</Lines>
  <Paragraphs>5</Paragraphs>
  <TotalTime>0</TotalTime>
  <ScaleCrop>false</ScaleCrop>
  <LinksUpToDate>false</LinksUpToDate>
  <CharactersWithSpaces>2755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2020-12-08T08:33:00Z</dcterms:created>
  <dc:creator>Windows User</dc:creator>
  <cp:lastModifiedBy>poo</cp:lastModifiedBy>
  <cp:lastPrinted>2020-12-24T07:17:00Z</cp:lastPrinted>
  <dcterms:modified xsi:type="dcterms:W3CDTF">2024-10-12T02:29:29Z</dcterms:modified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